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04" w:type="pct"/>
        <w:tblCellSpacing w:w="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2197"/>
        <w:gridCol w:w="8324"/>
      </w:tblGrid>
      <w:tr w:rsidR="00BA2DA3" w:rsidRPr="00A55C97" w:rsidTr="0048209A">
        <w:trPr>
          <w:trHeight w:val="2012"/>
          <w:tblCellSpacing w:w="0" w:type="dxa"/>
        </w:trPr>
        <w:tc>
          <w:tcPr>
            <w:tcW w:w="1044" w:type="pct"/>
            <w:shd w:val="clear" w:color="auto" w:fill="auto"/>
          </w:tcPr>
          <w:p w:rsidR="00BA2DA3" w:rsidRPr="00E7076C" w:rsidRDefault="00BA2DA3" w:rsidP="0028462D">
            <w:pPr>
              <w:jc w:val="both"/>
              <w:rPr>
                <w:rFonts w:ascii="Arial" w:hAnsi="Arial" w:cs="Arial"/>
                <w:b/>
                <w:sz w:val="16"/>
                <w:szCs w:val="16"/>
              </w:rPr>
            </w:pPr>
            <w:r>
              <w:rPr>
                <w:rFonts w:ascii="Arial" w:hAnsi="Arial" w:cs="Arial"/>
                <w:b/>
                <w:noProof/>
                <w:sz w:val="16"/>
                <w:szCs w:val="16"/>
                <w:lang w:eastAsia="en-US"/>
              </w:rPr>
              <w:drawing>
                <wp:anchor distT="0" distB="0" distL="114300" distR="114300" simplePos="0" relativeHeight="251661312" behindDoc="1" locked="0" layoutInCell="1" allowOverlap="1">
                  <wp:simplePos x="0" y="0"/>
                  <wp:positionH relativeFrom="column">
                    <wp:posOffset>169545</wp:posOffset>
                  </wp:positionH>
                  <wp:positionV relativeFrom="paragraph">
                    <wp:posOffset>-3175</wp:posOffset>
                  </wp:positionV>
                  <wp:extent cx="642620" cy="1254125"/>
                  <wp:effectExtent l="19050" t="0" r="5080" b="0"/>
                  <wp:wrapNone/>
                  <wp:docPr id="1" name="Рисунок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DP logo"/>
                          <pic:cNvPicPr>
                            <a:picLocks noChangeAspect="1" noChangeArrowheads="1"/>
                          </pic:cNvPicPr>
                        </pic:nvPicPr>
                        <pic:blipFill>
                          <a:blip r:embed="rId8" cstate="print"/>
                          <a:srcRect/>
                          <a:stretch>
                            <a:fillRect/>
                          </a:stretch>
                        </pic:blipFill>
                        <pic:spPr bwMode="auto">
                          <a:xfrm>
                            <a:off x="0" y="0"/>
                            <a:ext cx="642620" cy="1254125"/>
                          </a:xfrm>
                          <a:prstGeom prst="rect">
                            <a:avLst/>
                          </a:prstGeom>
                          <a:noFill/>
                          <a:ln w="9525">
                            <a:noFill/>
                            <a:miter lim="800000"/>
                            <a:headEnd/>
                            <a:tailEnd/>
                          </a:ln>
                        </pic:spPr>
                      </pic:pic>
                    </a:graphicData>
                  </a:graphic>
                </wp:anchor>
              </w:drawing>
            </w:r>
          </w:p>
          <w:p w:rsidR="00BA2DA3" w:rsidRDefault="00BA2DA3" w:rsidP="0028462D">
            <w:pPr>
              <w:jc w:val="center"/>
              <w:rPr>
                <w:rFonts w:ascii="Arial" w:hAnsi="Arial" w:cs="Arial"/>
                <w:b/>
                <w:lang w:val="it-IT"/>
              </w:rPr>
            </w:pPr>
            <w:r>
              <w:rPr>
                <w:rFonts w:ascii="Arial" w:hAnsi="Arial" w:cs="Arial"/>
                <w:b/>
                <w:lang w:val="it-IT"/>
              </w:rPr>
              <w:t xml:space="preserve">                 </w:t>
            </w:r>
          </w:p>
          <w:p w:rsidR="00BA2DA3" w:rsidRDefault="00BA2DA3" w:rsidP="0028462D">
            <w:pPr>
              <w:jc w:val="center"/>
              <w:rPr>
                <w:rFonts w:ascii="Arial" w:hAnsi="Arial" w:cs="Arial"/>
                <w:b/>
                <w:lang w:val="it-IT"/>
              </w:rPr>
            </w:pPr>
          </w:p>
          <w:p w:rsidR="00BA2DA3" w:rsidRPr="00C036D4" w:rsidRDefault="00BA2DA3" w:rsidP="0028462D">
            <w:pPr>
              <w:jc w:val="center"/>
              <w:rPr>
                <w:rFonts w:ascii="Arial" w:hAnsi="Arial" w:cs="Arial"/>
                <w:b/>
                <w:sz w:val="16"/>
                <w:szCs w:val="16"/>
                <w:lang w:val="it-IT"/>
              </w:rPr>
            </w:pPr>
            <w:r>
              <w:rPr>
                <w:rFonts w:ascii="Arial" w:hAnsi="Arial" w:cs="Arial"/>
                <w:b/>
                <w:lang w:val="it-IT"/>
              </w:rPr>
              <w:t xml:space="preserve">               </w:t>
            </w:r>
          </w:p>
          <w:p w:rsidR="00BA2DA3" w:rsidRPr="00E7076C" w:rsidRDefault="00BA2DA3" w:rsidP="0028462D">
            <w:pPr>
              <w:jc w:val="center"/>
              <w:rPr>
                <w:rFonts w:ascii="Arial" w:hAnsi="Arial" w:cs="Arial"/>
                <w:sz w:val="32"/>
                <w:szCs w:val="32"/>
              </w:rPr>
            </w:pPr>
          </w:p>
        </w:tc>
        <w:tc>
          <w:tcPr>
            <w:tcW w:w="3956" w:type="pct"/>
            <w:shd w:val="clear" w:color="auto" w:fill="auto"/>
          </w:tcPr>
          <w:p w:rsidR="003744AA" w:rsidRDefault="003744AA" w:rsidP="0028462D">
            <w:pPr>
              <w:rPr>
                <w:rFonts w:ascii="Arial" w:hAnsi="Arial" w:cs="Arial"/>
                <w:b/>
                <w:lang w:val="it-IT"/>
              </w:rPr>
            </w:pPr>
          </w:p>
          <w:p w:rsidR="003744AA" w:rsidRDefault="003744AA" w:rsidP="0028462D">
            <w:pPr>
              <w:rPr>
                <w:rFonts w:ascii="Arial" w:hAnsi="Arial" w:cs="Arial"/>
                <w:b/>
                <w:lang w:val="it-IT"/>
              </w:rPr>
            </w:pPr>
          </w:p>
          <w:p w:rsidR="003744AA" w:rsidRDefault="003744AA" w:rsidP="0028462D">
            <w:pPr>
              <w:rPr>
                <w:rFonts w:ascii="Arial" w:hAnsi="Arial" w:cs="Arial"/>
                <w:b/>
                <w:lang w:val="it-IT"/>
              </w:rPr>
            </w:pPr>
          </w:p>
          <w:p w:rsidR="00C17445" w:rsidRDefault="003744AA" w:rsidP="0048209A">
            <w:pPr>
              <w:jc w:val="center"/>
              <w:rPr>
                <w:rFonts w:ascii="Arial" w:hAnsi="Arial" w:cs="Arial"/>
                <w:b/>
                <w:lang w:val="it-IT"/>
              </w:rPr>
            </w:pPr>
            <w:r>
              <w:rPr>
                <w:rFonts w:ascii="Arial" w:hAnsi="Arial" w:cs="Arial"/>
                <w:b/>
                <w:lang w:val="it-IT"/>
              </w:rPr>
              <w:t>Supporting Civil Registry Reform in Tajikistan</w:t>
            </w:r>
          </w:p>
          <w:p w:rsidR="003744AA" w:rsidRDefault="003744AA" w:rsidP="0048209A">
            <w:pPr>
              <w:jc w:val="center"/>
              <w:rPr>
                <w:rFonts w:ascii="Arial" w:hAnsi="Arial" w:cs="Arial"/>
                <w:b/>
                <w:lang w:val="it-IT"/>
              </w:rPr>
            </w:pPr>
          </w:p>
          <w:p w:rsidR="003744AA" w:rsidRPr="00A55C97" w:rsidRDefault="008E6A81" w:rsidP="00424ED3">
            <w:pPr>
              <w:jc w:val="center"/>
              <w:rPr>
                <w:rFonts w:ascii="Arial" w:hAnsi="Arial" w:cs="Arial"/>
                <w:sz w:val="16"/>
                <w:szCs w:val="16"/>
              </w:rPr>
            </w:pPr>
            <w:r>
              <w:rPr>
                <w:rFonts w:ascii="Arial" w:hAnsi="Arial" w:cs="Arial"/>
                <w:b/>
                <w:lang w:val="it-IT"/>
              </w:rPr>
              <w:t xml:space="preserve">Draft </w:t>
            </w:r>
            <w:r w:rsidR="003744AA">
              <w:rPr>
                <w:rFonts w:ascii="Arial" w:hAnsi="Arial" w:cs="Arial"/>
                <w:b/>
                <w:lang w:val="it-IT"/>
              </w:rPr>
              <w:t>Pro</w:t>
            </w:r>
            <w:r w:rsidR="00424ED3">
              <w:rPr>
                <w:rFonts w:ascii="Arial" w:hAnsi="Arial" w:cs="Arial"/>
                <w:b/>
                <w:lang w:val="it-IT"/>
              </w:rPr>
              <w:t xml:space="preserve">ject </w:t>
            </w:r>
            <w:r w:rsidR="003744AA">
              <w:rPr>
                <w:rFonts w:ascii="Arial" w:hAnsi="Arial" w:cs="Arial"/>
                <w:b/>
                <w:lang w:val="it-IT"/>
              </w:rPr>
              <w:t>Brief</w:t>
            </w:r>
          </w:p>
        </w:tc>
      </w:tr>
      <w:tr w:rsidR="0048209A" w:rsidRPr="00FF1BBD" w:rsidTr="0048209A">
        <w:trPr>
          <w:tblCellSpacing w:w="0" w:type="dxa"/>
        </w:trPr>
        <w:tc>
          <w:tcPr>
            <w:tcW w:w="1044" w:type="pct"/>
            <w:shd w:val="clear" w:color="auto" w:fill="auto"/>
          </w:tcPr>
          <w:p w:rsidR="0048209A" w:rsidRDefault="0048209A" w:rsidP="007C78C8">
            <w:pPr>
              <w:jc w:val="both"/>
              <w:rPr>
                <w:rFonts w:ascii="Arial" w:hAnsi="Arial" w:cs="Arial"/>
                <w:b/>
                <w:bCs/>
                <w:sz w:val="16"/>
                <w:szCs w:val="16"/>
              </w:rPr>
            </w:pPr>
            <w:r>
              <w:rPr>
                <w:rFonts w:ascii="Arial" w:hAnsi="Arial" w:cs="Arial"/>
                <w:b/>
                <w:bCs/>
                <w:sz w:val="16"/>
                <w:szCs w:val="16"/>
              </w:rPr>
              <w:t>Location:</w:t>
            </w:r>
          </w:p>
        </w:tc>
        <w:tc>
          <w:tcPr>
            <w:tcW w:w="3956" w:type="pct"/>
            <w:shd w:val="clear" w:color="auto" w:fill="auto"/>
          </w:tcPr>
          <w:p w:rsidR="0048209A" w:rsidRDefault="0048209A" w:rsidP="00FF1BBD">
            <w:pPr>
              <w:ind w:left="64"/>
              <w:jc w:val="both"/>
              <w:rPr>
                <w:rFonts w:ascii="Arial" w:hAnsi="Arial" w:cs="Arial"/>
                <w:sz w:val="16"/>
                <w:szCs w:val="16"/>
                <w:lang w:val="en-GB"/>
              </w:rPr>
            </w:pPr>
            <w:r>
              <w:rPr>
                <w:rFonts w:ascii="Arial" w:hAnsi="Arial" w:cs="Arial"/>
                <w:sz w:val="16"/>
                <w:szCs w:val="16"/>
                <w:lang w:val="en-GB"/>
              </w:rPr>
              <w:t>Tajikistan</w:t>
            </w:r>
          </w:p>
        </w:tc>
      </w:tr>
      <w:tr w:rsidR="0048209A" w:rsidRPr="00FF1BBD" w:rsidTr="0048209A">
        <w:trPr>
          <w:trHeight w:val="797"/>
          <w:tblCellSpacing w:w="0" w:type="dxa"/>
        </w:trPr>
        <w:tc>
          <w:tcPr>
            <w:tcW w:w="1044" w:type="pct"/>
            <w:shd w:val="clear" w:color="auto" w:fill="auto"/>
          </w:tcPr>
          <w:p w:rsidR="0048209A" w:rsidRDefault="0048209A" w:rsidP="007C78C8">
            <w:pPr>
              <w:jc w:val="both"/>
              <w:rPr>
                <w:rFonts w:ascii="Arial" w:hAnsi="Arial" w:cs="Arial"/>
                <w:b/>
                <w:bCs/>
                <w:sz w:val="16"/>
                <w:szCs w:val="16"/>
              </w:rPr>
            </w:pPr>
            <w:r>
              <w:rPr>
                <w:rFonts w:ascii="Arial" w:hAnsi="Arial" w:cs="Arial"/>
                <w:b/>
                <w:bCs/>
                <w:sz w:val="16"/>
                <w:szCs w:val="16"/>
              </w:rPr>
              <w:t>Duration:</w:t>
            </w:r>
          </w:p>
        </w:tc>
        <w:tc>
          <w:tcPr>
            <w:tcW w:w="3956" w:type="pct"/>
            <w:shd w:val="clear" w:color="auto" w:fill="auto"/>
          </w:tcPr>
          <w:p w:rsidR="0048209A" w:rsidRDefault="0048209A" w:rsidP="00FF1BBD">
            <w:pPr>
              <w:ind w:left="64"/>
              <w:jc w:val="both"/>
              <w:rPr>
                <w:rFonts w:ascii="Arial" w:hAnsi="Arial" w:cs="Arial"/>
                <w:sz w:val="16"/>
                <w:szCs w:val="16"/>
                <w:lang w:val="en-GB"/>
              </w:rPr>
            </w:pPr>
            <w:r>
              <w:rPr>
                <w:rFonts w:ascii="Arial" w:hAnsi="Arial" w:cs="Arial"/>
                <w:sz w:val="16"/>
                <w:szCs w:val="16"/>
                <w:lang w:val="en-GB"/>
              </w:rPr>
              <w:t>2015 – 2023</w:t>
            </w:r>
          </w:p>
          <w:p w:rsidR="0048209A" w:rsidRDefault="0048209A" w:rsidP="00FF1BBD">
            <w:pPr>
              <w:ind w:left="64"/>
              <w:jc w:val="both"/>
              <w:rPr>
                <w:rFonts w:ascii="Arial" w:hAnsi="Arial" w:cs="Arial"/>
                <w:sz w:val="16"/>
                <w:szCs w:val="16"/>
                <w:lang w:val="en-GB"/>
              </w:rPr>
            </w:pPr>
          </w:p>
          <w:p w:rsidR="0048209A" w:rsidRDefault="0048209A" w:rsidP="00FF1BBD">
            <w:pPr>
              <w:ind w:left="64"/>
              <w:jc w:val="both"/>
              <w:rPr>
                <w:rFonts w:ascii="Arial" w:hAnsi="Arial" w:cs="Arial"/>
                <w:sz w:val="16"/>
                <w:szCs w:val="16"/>
                <w:lang w:val="en-GB"/>
              </w:rPr>
            </w:pPr>
            <w:r>
              <w:rPr>
                <w:rFonts w:ascii="Arial" w:hAnsi="Arial" w:cs="Arial"/>
                <w:sz w:val="16"/>
                <w:szCs w:val="16"/>
                <w:lang w:val="en-GB"/>
              </w:rPr>
              <w:t>Phase I:  2015 – 2019</w:t>
            </w:r>
          </w:p>
          <w:p w:rsidR="0048209A" w:rsidRDefault="0048209A" w:rsidP="00FF1BBD">
            <w:pPr>
              <w:ind w:left="64"/>
              <w:jc w:val="both"/>
              <w:rPr>
                <w:rFonts w:ascii="Arial" w:hAnsi="Arial" w:cs="Arial"/>
                <w:sz w:val="16"/>
                <w:szCs w:val="16"/>
                <w:lang w:val="en-GB"/>
              </w:rPr>
            </w:pPr>
            <w:r>
              <w:rPr>
                <w:rFonts w:ascii="Arial" w:hAnsi="Arial" w:cs="Arial"/>
                <w:sz w:val="16"/>
                <w:szCs w:val="16"/>
                <w:lang w:val="en-GB"/>
              </w:rPr>
              <w:t>Phase II: 2019 - 2023</w:t>
            </w:r>
          </w:p>
        </w:tc>
      </w:tr>
      <w:tr w:rsidR="0048209A" w:rsidRPr="00FF1BBD" w:rsidTr="0048209A">
        <w:trPr>
          <w:trHeight w:val="1175"/>
          <w:tblCellSpacing w:w="0" w:type="dxa"/>
        </w:trPr>
        <w:tc>
          <w:tcPr>
            <w:tcW w:w="1044" w:type="pct"/>
            <w:shd w:val="clear" w:color="auto" w:fill="auto"/>
          </w:tcPr>
          <w:p w:rsidR="0048209A" w:rsidRDefault="0048209A" w:rsidP="007C78C8">
            <w:pPr>
              <w:jc w:val="both"/>
              <w:rPr>
                <w:rFonts w:ascii="Arial" w:hAnsi="Arial" w:cs="Arial"/>
                <w:b/>
                <w:bCs/>
                <w:sz w:val="16"/>
                <w:szCs w:val="16"/>
              </w:rPr>
            </w:pPr>
            <w:r>
              <w:rPr>
                <w:rFonts w:ascii="Arial" w:hAnsi="Arial" w:cs="Arial"/>
                <w:b/>
                <w:bCs/>
                <w:sz w:val="16"/>
                <w:szCs w:val="16"/>
              </w:rPr>
              <w:t>Budget:</w:t>
            </w:r>
          </w:p>
        </w:tc>
        <w:tc>
          <w:tcPr>
            <w:tcW w:w="3956" w:type="pct"/>
            <w:shd w:val="clear" w:color="auto" w:fill="auto"/>
          </w:tcPr>
          <w:p w:rsidR="0048209A" w:rsidRDefault="0048209A" w:rsidP="00FF1BBD">
            <w:pPr>
              <w:ind w:left="64"/>
              <w:jc w:val="both"/>
              <w:rPr>
                <w:rFonts w:ascii="Arial" w:hAnsi="Arial" w:cs="Arial"/>
                <w:sz w:val="16"/>
                <w:szCs w:val="16"/>
                <w:lang w:val="en-GB"/>
              </w:rPr>
            </w:pPr>
            <w:r>
              <w:rPr>
                <w:rFonts w:ascii="Arial" w:hAnsi="Arial" w:cs="Arial"/>
                <w:sz w:val="16"/>
                <w:szCs w:val="16"/>
                <w:lang w:val="en-GB"/>
              </w:rPr>
              <w:t>Overall budget:   1</w:t>
            </w:r>
            <w:r w:rsidR="005A784E">
              <w:rPr>
                <w:rFonts w:ascii="Arial" w:hAnsi="Arial" w:cs="Arial"/>
                <w:sz w:val="16"/>
                <w:szCs w:val="16"/>
                <w:lang w:val="en-GB"/>
              </w:rPr>
              <w:t>2</w:t>
            </w:r>
            <w:r>
              <w:rPr>
                <w:rFonts w:ascii="Arial" w:hAnsi="Arial" w:cs="Arial"/>
                <w:sz w:val="16"/>
                <w:szCs w:val="16"/>
                <w:lang w:val="en-GB"/>
              </w:rPr>
              <w:t>,000,000.00 USD</w:t>
            </w:r>
            <w:r w:rsidR="00803295">
              <w:rPr>
                <w:rFonts w:ascii="Arial" w:hAnsi="Arial" w:cs="Arial"/>
                <w:sz w:val="16"/>
                <w:szCs w:val="16"/>
                <w:lang w:val="en-GB"/>
              </w:rPr>
              <w:t xml:space="preserve"> (indicative)</w:t>
            </w:r>
          </w:p>
          <w:p w:rsidR="0048209A" w:rsidRDefault="0048209A" w:rsidP="00FF1BBD">
            <w:pPr>
              <w:ind w:left="64"/>
              <w:jc w:val="both"/>
              <w:rPr>
                <w:rFonts w:ascii="Arial" w:hAnsi="Arial" w:cs="Arial"/>
                <w:sz w:val="16"/>
                <w:szCs w:val="16"/>
                <w:lang w:val="en-GB"/>
              </w:rPr>
            </w:pPr>
          </w:p>
          <w:p w:rsidR="0048209A" w:rsidRDefault="0048209A" w:rsidP="00FF1BBD">
            <w:pPr>
              <w:ind w:left="64"/>
              <w:jc w:val="both"/>
              <w:rPr>
                <w:rFonts w:ascii="Arial" w:hAnsi="Arial" w:cs="Arial"/>
                <w:sz w:val="16"/>
                <w:szCs w:val="16"/>
                <w:lang w:val="en-GB"/>
              </w:rPr>
            </w:pPr>
            <w:r>
              <w:rPr>
                <w:rFonts w:ascii="Arial" w:hAnsi="Arial" w:cs="Arial"/>
                <w:sz w:val="16"/>
                <w:szCs w:val="16"/>
                <w:lang w:val="en-GB"/>
              </w:rPr>
              <w:t>SDC:                    8,000,000.00 USD</w:t>
            </w:r>
          </w:p>
          <w:p w:rsidR="0048209A" w:rsidRDefault="0048209A" w:rsidP="0048209A">
            <w:pPr>
              <w:ind w:left="64"/>
              <w:jc w:val="both"/>
              <w:rPr>
                <w:rFonts w:ascii="Arial" w:hAnsi="Arial" w:cs="Arial"/>
                <w:sz w:val="16"/>
                <w:szCs w:val="16"/>
                <w:lang w:val="en-GB"/>
              </w:rPr>
            </w:pPr>
            <w:r>
              <w:rPr>
                <w:rFonts w:ascii="Arial" w:hAnsi="Arial" w:cs="Arial"/>
                <w:sz w:val="16"/>
                <w:szCs w:val="16"/>
                <w:lang w:val="en-GB"/>
              </w:rPr>
              <w:t>UNDP Tajikistan: 2,000,000.00 USD</w:t>
            </w:r>
          </w:p>
          <w:p w:rsidR="0048209A" w:rsidRDefault="0048209A" w:rsidP="0048209A">
            <w:pPr>
              <w:ind w:left="64"/>
              <w:jc w:val="both"/>
              <w:rPr>
                <w:rFonts w:ascii="Arial" w:hAnsi="Arial" w:cs="Arial"/>
                <w:sz w:val="16"/>
                <w:szCs w:val="16"/>
                <w:lang w:val="en-GB"/>
              </w:rPr>
            </w:pPr>
          </w:p>
          <w:p w:rsidR="0048209A" w:rsidRDefault="0048209A" w:rsidP="00FF1BBD">
            <w:pPr>
              <w:ind w:left="64"/>
              <w:jc w:val="both"/>
              <w:rPr>
                <w:rFonts w:ascii="Arial" w:hAnsi="Arial" w:cs="Arial"/>
                <w:sz w:val="16"/>
                <w:szCs w:val="16"/>
                <w:lang w:val="en-GB"/>
              </w:rPr>
            </w:pPr>
            <w:r>
              <w:rPr>
                <w:rFonts w:ascii="Arial" w:hAnsi="Arial" w:cs="Arial"/>
                <w:sz w:val="16"/>
                <w:szCs w:val="16"/>
                <w:lang w:val="en-GB"/>
              </w:rPr>
              <w:t xml:space="preserve">Unfunded budget: </w:t>
            </w:r>
            <w:r w:rsidR="005A784E">
              <w:rPr>
                <w:rFonts w:ascii="Arial" w:hAnsi="Arial" w:cs="Arial"/>
                <w:sz w:val="16"/>
                <w:szCs w:val="16"/>
                <w:lang w:val="en-GB"/>
              </w:rPr>
              <w:t>2</w:t>
            </w:r>
            <w:r>
              <w:rPr>
                <w:rFonts w:ascii="Arial" w:hAnsi="Arial" w:cs="Arial"/>
                <w:sz w:val="16"/>
                <w:szCs w:val="16"/>
                <w:lang w:val="en-GB"/>
              </w:rPr>
              <w:t>,000,000.00 USD</w:t>
            </w:r>
          </w:p>
          <w:p w:rsidR="0048209A" w:rsidRDefault="0048209A" w:rsidP="00FF1BBD">
            <w:pPr>
              <w:ind w:left="64"/>
              <w:jc w:val="both"/>
              <w:rPr>
                <w:rFonts w:ascii="Arial" w:hAnsi="Arial" w:cs="Arial"/>
                <w:sz w:val="16"/>
                <w:szCs w:val="16"/>
                <w:lang w:val="en-GB"/>
              </w:rPr>
            </w:pPr>
          </w:p>
        </w:tc>
      </w:tr>
      <w:tr w:rsidR="0048209A" w:rsidRPr="00FF1BBD" w:rsidTr="0048209A">
        <w:trPr>
          <w:tblCellSpacing w:w="0" w:type="dxa"/>
        </w:trPr>
        <w:tc>
          <w:tcPr>
            <w:tcW w:w="1044" w:type="pct"/>
            <w:shd w:val="clear" w:color="auto" w:fill="auto"/>
          </w:tcPr>
          <w:p w:rsidR="0048209A" w:rsidRDefault="0048209A" w:rsidP="007C78C8">
            <w:pPr>
              <w:jc w:val="both"/>
              <w:rPr>
                <w:rFonts w:ascii="Arial" w:hAnsi="Arial" w:cs="Arial"/>
                <w:b/>
                <w:bCs/>
                <w:sz w:val="16"/>
                <w:szCs w:val="16"/>
              </w:rPr>
            </w:pPr>
            <w:r>
              <w:rPr>
                <w:rFonts w:ascii="Arial" w:hAnsi="Arial" w:cs="Arial"/>
                <w:b/>
                <w:bCs/>
                <w:sz w:val="16"/>
                <w:szCs w:val="16"/>
              </w:rPr>
              <w:t xml:space="preserve">Donors: </w:t>
            </w:r>
          </w:p>
        </w:tc>
        <w:tc>
          <w:tcPr>
            <w:tcW w:w="3956" w:type="pct"/>
            <w:shd w:val="clear" w:color="auto" w:fill="auto"/>
          </w:tcPr>
          <w:p w:rsidR="0048209A" w:rsidRPr="00BB02D0" w:rsidRDefault="0048209A" w:rsidP="0048209A">
            <w:pPr>
              <w:rPr>
                <w:rFonts w:ascii="Arial" w:hAnsi="Arial" w:cs="Arial"/>
                <w:sz w:val="16"/>
                <w:szCs w:val="16"/>
                <w:lang w:val="it-IT"/>
              </w:rPr>
            </w:pPr>
            <w:r>
              <w:rPr>
                <w:rFonts w:ascii="Arial" w:hAnsi="Arial" w:cs="Arial"/>
                <w:sz w:val="16"/>
                <w:szCs w:val="16"/>
                <w:lang w:val="en-GB"/>
              </w:rPr>
              <w:t xml:space="preserve">Current </w:t>
            </w:r>
            <w:r w:rsidR="005A784E">
              <w:rPr>
                <w:rFonts w:ascii="Arial" w:hAnsi="Arial" w:cs="Arial"/>
                <w:sz w:val="16"/>
                <w:szCs w:val="16"/>
                <w:lang w:val="en-GB"/>
              </w:rPr>
              <w:t xml:space="preserve">potential </w:t>
            </w:r>
            <w:r>
              <w:rPr>
                <w:rFonts w:ascii="Arial" w:hAnsi="Arial" w:cs="Arial"/>
                <w:sz w:val="16"/>
                <w:szCs w:val="16"/>
                <w:lang w:val="en-GB"/>
              </w:rPr>
              <w:t xml:space="preserve">donors: </w:t>
            </w:r>
            <w:r w:rsidRPr="00BB02D0">
              <w:rPr>
                <w:rFonts w:ascii="Arial" w:hAnsi="Arial" w:cs="Arial"/>
                <w:sz w:val="16"/>
                <w:szCs w:val="16"/>
                <w:lang w:val="it-IT"/>
              </w:rPr>
              <w:t>Swiss Agency for Development and Cooperation, UNDP</w:t>
            </w:r>
          </w:p>
          <w:p w:rsidR="0048209A" w:rsidRPr="0048209A" w:rsidRDefault="005A784E" w:rsidP="003A3507">
            <w:pPr>
              <w:rPr>
                <w:rFonts w:ascii="Arial" w:hAnsi="Arial" w:cs="Arial"/>
                <w:sz w:val="16"/>
                <w:szCs w:val="16"/>
                <w:lang w:val="it-IT"/>
              </w:rPr>
            </w:pPr>
            <w:r>
              <w:rPr>
                <w:rFonts w:ascii="Arial" w:hAnsi="Arial" w:cs="Arial"/>
                <w:sz w:val="16"/>
                <w:szCs w:val="16"/>
                <w:lang w:val="it-IT"/>
              </w:rPr>
              <w:t>Other p</w:t>
            </w:r>
            <w:r w:rsidR="0048209A">
              <w:rPr>
                <w:rFonts w:ascii="Arial" w:hAnsi="Arial" w:cs="Arial"/>
                <w:sz w:val="16"/>
                <w:szCs w:val="16"/>
                <w:lang w:val="it-IT"/>
              </w:rPr>
              <w:t>otential donors</w:t>
            </w:r>
            <w:r>
              <w:rPr>
                <w:rFonts w:ascii="Arial" w:hAnsi="Arial" w:cs="Arial"/>
                <w:sz w:val="16"/>
                <w:szCs w:val="16"/>
                <w:lang w:val="it-IT"/>
              </w:rPr>
              <w:t xml:space="preserve"> and funds</w:t>
            </w:r>
            <w:r w:rsidR="0048209A">
              <w:rPr>
                <w:rFonts w:ascii="Arial" w:hAnsi="Arial" w:cs="Arial"/>
                <w:sz w:val="16"/>
                <w:szCs w:val="16"/>
                <w:lang w:val="it-IT"/>
              </w:rPr>
              <w:t xml:space="preserve">: </w:t>
            </w:r>
            <w:r w:rsidR="0048209A" w:rsidRPr="00BB02D0">
              <w:rPr>
                <w:rFonts w:ascii="Arial" w:hAnsi="Arial" w:cs="Arial"/>
                <w:sz w:val="16"/>
                <w:szCs w:val="16"/>
                <w:lang w:val="it-IT"/>
              </w:rPr>
              <w:t>Ministry for Foreign Affairs of Finland</w:t>
            </w:r>
            <w:r w:rsidR="003A3507">
              <w:rPr>
                <w:rFonts w:ascii="Arial" w:hAnsi="Arial" w:cs="Arial"/>
                <w:sz w:val="16"/>
                <w:szCs w:val="16"/>
                <w:lang w:val="it-IT"/>
              </w:rPr>
              <w:t xml:space="preserve"> (?)</w:t>
            </w:r>
          </w:p>
        </w:tc>
      </w:tr>
      <w:tr w:rsidR="005F417A" w:rsidRPr="00FF1BBD" w:rsidTr="0048209A">
        <w:trPr>
          <w:tblCellSpacing w:w="0" w:type="dxa"/>
        </w:trPr>
        <w:tc>
          <w:tcPr>
            <w:tcW w:w="1044" w:type="pct"/>
            <w:shd w:val="clear" w:color="auto" w:fill="auto"/>
          </w:tcPr>
          <w:p w:rsidR="005F417A" w:rsidRPr="00E7076C" w:rsidRDefault="005F417A" w:rsidP="007C78C8">
            <w:pPr>
              <w:jc w:val="both"/>
              <w:rPr>
                <w:rFonts w:ascii="Arial" w:hAnsi="Arial" w:cs="Arial"/>
                <w:b/>
                <w:bCs/>
                <w:sz w:val="16"/>
                <w:szCs w:val="16"/>
              </w:rPr>
            </w:pPr>
            <w:proofErr w:type="spellStart"/>
            <w:r>
              <w:rPr>
                <w:rFonts w:ascii="Arial" w:hAnsi="Arial" w:cs="Arial"/>
                <w:b/>
                <w:bCs/>
                <w:sz w:val="16"/>
                <w:szCs w:val="16"/>
              </w:rPr>
              <w:t>Pro</w:t>
            </w:r>
            <w:r w:rsidR="007C78C8">
              <w:rPr>
                <w:rFonts w:ascii="Arial" w:hAnsi="Arial" w:cs="Arial"/>
                <w:b/>
                <w:bCs/>
                <w:sz w:val="16"/>
                <w:szCs w:val="16"/>
              </w:rPr>
              <w:t>gramme</w:t>
            </w:r>
            <w:proofErr w:type="spellEnd"/>
            <w:r>
              <w:rPr>
                <w:rFonts w:ascii="Arial" w:hAnsi="Arial" w:cs="Arial"/>
                <w:b/>
                <w:bCs/>
                <w:sz w:val="16"/>
                <w:szCs w:val="16"/>
              </w:rPr>
              <w:t xml:space="preserve"> Background:</w:t>
            </w:r>
          </w:p>
        </w:tc>
        <w:tc>
          <w:tcPr>
            <w:tcW w:w="3956" w:type="pct"/>
            <w:shd w:val="clear" w:color="auto" w:fill="auto"/>
          </w:tcPr>
          <w:p w:rsidR="005F417A" w:rsidRPr="001B1448" w:rsidRDefault="00FA3BBA" w:rsidP="001B1448">
            <w:pPr>
              <w:ind w:left="64"/>
              <w:jc w:val="both"/>
              <w:rPr>
                <w:rFonts w:ascii="Arial" w:hAnsi="Arial" w:cs="Arial"/>
                <w:sz w:val="16"/>
                <w:szCs w:val="16"/>
                <w:lang w:val="en-GB"/>
              </w:rPr>
            </w:pPr>
            <w:r>
              <w:rPr>
                <w:rFonts w:ascii="Arial" w:hAnsi="Arial" w:cs="Arial"/>
                <w:sz w:val="16"/>
                <w:szCs w:val="16"/>
                <w:lang w:val="en-GB"/>
              </w:rPr>
              <w:t>Despite the continuous Judicial and Legal Reforms being implemented by the Government of Tajikistan, rule of law and access to justice</w:t>
            </w:r>
            <w:r w:rsidR="00411B1F">
              <w:rPr>
                <w:rFonts w:ascii="Arial" w:hAnsi="Arial" w:cs="Arial"/>
                <w:sz w:val="16"/>
                <w:szCs w:val="16"/>
                <w:lang w:val="en-GB"/>
              </w:rPr>
              <w:t xml:space="preserve"> issues</w:t>
            </w:r>
            <w:r>
              <w:rPr>
                <w:rFonts w:ascii="Arial" w:hAnsi="Arial" w:cs="Arial"/>
                <w:sz w:val="16"/>
                <w:szCs w:val="16"/>
                <w:lang w:val="en-GB"/>
              </w:rPr>
              <w:t xml:space="preserve"> rema</w:t>
            </w:r>
            <w:r w:rsidR="00A938E2">
              <w:rPr>
                <w:rFonts w:ascii="Arial" w:hAnsi="Arial" w:cs="Arial"/>
                <w:sz w:val="16"/>
                <w:szCs w:val="16"/>
                <w:lang w:val="en-GB"/>
              </w:rPr>
              <w:t>in high priority for the country</w:t>
            </w:r>
            <w:r w:rsidR="00204609">
              <w:rPr>
                <w:rFonts w:ascii="Arial" w:hAnsi="Arial" w:cs="Arial"/>
                <w:sz w:val="16"/>
                <w:szCs w:val="16"/>
                <w:lang w:val="en-GB"/>
              </w:rPr>
              <w:t xml:space="preserve"> </w:t>
            </w:r>
            <w:r w:rsidR="000B30AB">
              <w:rPr>
                <w:rFonts w:ascii="Arial" w:hAnsi="Arial" w:cs="Arial"/>
                <w:sz w:val="16"/>
                <w:szCs w:val="16"/>
                <w:lang w:val="en-GB"/>
              </w:rPr>
              <w:t>serving as root causes of vulnerability, social exclusion and inequalities</w:t>
            </w:r>
            <w:r>
              <w:rPr>
                <w:rFonts w:ascii="Arial" w:hAnsi="Arial" w:cs="Arial"/>
                <w:sz w:val="16"/>
                <w:szCs w:val="16"/>
                <w:lang w:val="en-GB"/>
              </w:rPr>
              <w:t>.</w:t>
            </w:r>
            <w:r w:rsidR="00411B1F">
              <w:rPr>
                <w:rFonts w:ascii="Arial" w:hAnsi="Arial" w:cs="Arial"/>
                <w:sz w:val="16"/>
                <w:szCs w:val="16"/>
                <w:lang w:val="en-GB"/>
              </w:rPr>
              <w:t xml:space="preserve"> </w:t>
            </w:r>
            <w:r w:rsidR="000F3A55">
              <w:rPr>
                <w:rFonts w:ascii="Arial" w:hAnsi="Arial" w:cs="Arial"/>
                <w:sz w:val="16"/>
                <w:szCs w:val="16"/>
                <w:lang w:val="en-GB"/>
              </w:rPr>
              <w:t xml:space="preserve">During the last decade the international community, especially the Swiss Agency for Development and Cooperation in Tajikistan as well as other partners, including UNDP have been actively supporting rule of law and access to justice related reforms in Tajikistan. </w:t>
            </w:r>
            <w:r w:rsidR="00B07238">
              <w:rPr>
                <w:rFonts w:ascii="Arial" w:hAnsi="Arial" w:cs="Arial"/>
                <w:sz w:val="16"/>
                <w:szCs w:val="16"/>
                <w:lang w:val="en-GB"/>
              </w:rPr>
              <w:t xml:space="preserve">The ongoing ‘Access to Justice in Tajikistan’ project funded by SDC and implemented in consortium partnership of UNDP and INGO </w:t>
            </w:r>
            <w:proofErr w:type="spellStart"/>
            <w:r w:rsidR="00BA6040">
              <w:rPr>
                <w:rFonts w:ascii="Arial" w:hAnsi="Arial" w:cs="Arial"/>
                <w:sz w:val="16"/>
                <w:szCs w:val="16"/>
                <w:lang w:val="en-GB"/>
              </w:rPr>
              <w:t>Helvetas</w:t>
            </w:r>
            <w:proofErr w:type="spellEnd"/>
            <w:r w:rsidR="00BA6040">
              <w:rPr>
                <w:rFonts w:ascii="Arial" w:hAnsi="Arial" w:cs="Arial"/>
                <w:sz w:val="16"/>
                <w:szCs w:val="16"/>
                <w:lang w:val="en-GB"/>
              </w:rPr>
              <w:t xml:space="preserve"> </w:t>
            </w:r>
            <w:r w:rsidR="00B07238">
              <w:rPr>
                <w:rFonts w:ascii="Arial" w:hAnsi="Arial" w:cs="Arial"/>
                <w:sz w:val="16"/>
                <w:szCs w:val="16"/>
                <w:lang w:val="en-GB"/>
              </w:rPr>
              <w:t xml:space="preserve">has generated a number of lessons </w:t>
            </w:r>
            <w:r w:rsidR="00393B5E">
              <w:rPr>
                <w:rFonts w:ascii="Arial" w:hAnsi="Arial" w:cs="Arial"/>
                <w:sz w:val="16"/>
                <w:szCs w:val="16"/>
                <w:lang w:val="en-GB"/>
              </w:rPr>
              <w:t xml:space="preserve">pointing out </w:t>
            </w:r>
            <w:r w:rsidR="001B1448">
              <w:rPr>
                <w:rFonts w:ascii="Arial" w:hAnsi="Arial" w:cs="Arial"/>
                <w:sz w:val="16"/>
                <w:szCs w:val="16"/>
                <w:lang w:val="en-GB"/>
              </w:rPr>
              <w:t xml:space="preserve">specifically </w:t>
            </w:r>
            <w:r w:rsidR="00393B5E">
              <w:rPr>
                <w:rFonts w:ascii="Arial" w:hAnsi="Arial" w:cs="Arial"/>
                <w:sz w:val="16"/>
                <w:szCs w:val="16"/>
                <w:lang w:val="en-GB"/>
              </w:rPr>
              <w:t xml:space="preserve">the current gaps in civil registration system </w:t>
            </w:r>
            <w:r w:rsidR="00E0144E">
              <w:rPr>
                <w:rFonts w:ascii="Arial" w:hAnsi="Arial" w:cs="Arial"/>
                <w:sz w:val="16"/>
                <w:szCs w:val="16"/>
                <w:lang w:val="en-GB"/>
              </w:rPr>
              <w:t xml:space="preserve">with direct negative implications on ability of vulnerable population segments, especially </w:t>
            </w:r>
            <w:r w:rsidR="008841C8" w:rsidRPr="001B1448">
              <w:rPr>
                <w:rFonts w:ascii="Arial" w:hAnsi="Arial" w:cs="Arial"/>
                <w:sz w:val="16"/>
                <w:szCs w:val="16"/>
                <w:lang w:val="en-GB"/>
              </w:rPr>
              <w:t>women and children</w:t>
            </w:r>
            <w:r w:rsidR="00E0144E" w:rsidRPr="001B1448">
              <w:rPr>
                <w:rFonts w:ascii="Arial" w:hAnsi="Arial" w:cs="Arial"/>
                <w:sz w:val="16"/>
                <w:szCs w:val="16"/>
                <w:lang w:val="en-GB"/>
              </w:rPr>
              <w:t xml:space="preserve"> to </w:t>
            </w:r>
            <w:r w:rsidR="00500352" w:rsidRPr="001B1448">
              <w:rPr>
                <w:rFonts w:ascii="Arial" w:hAnsi="Arial" w:cs="Arial"/>
                <w:sz w:val="16"/>
                <w:szCs w:val="16"/>
                <w:lang w:val="en-GB"/>
              </w:rPr>
              <w:t xml:space="preserve">access justice and </w:t>
            </w:r>
            <w:r w:rsidR="00E0144E" w:rsidRPr="001B1448">
              <w:rPr>
                <w:rFonts w:ascii="Arial" w:hAnsi="Arial" w:cs="Arial"/>
                <w:sz w:val="16"/>
                <w:szCs w:val="16"/>
                <w:lang w:val="en-GB"/>
              </w:rPr>
              <w:t xml:space="preserve">exercise </w:t>
            </w:r>
            <w:r w:rsidR="00500352" w:rsidRPr="001B1448">
              <w:rPr>
                <w:rFonts w:ascii="Arial" w:hAnsi="Arial" w:cs="Arial"/>
                <w:sz w:val="16"/>
                <w:szCs w:val="16"/>
                <w:lang w:val="en-GB"/>
              </w:rPr>
              <w:t xml:space="preserve">rights </w:t>
            </w:r>
            <w:r w:rsidR="002F0E80" w:rsidRPr="001B1448">
              <w:rPr>
                <w:rFonts w:ascii="Arial" w:hAnsi="Arial" w:cs="Arial"/>
                <w:sz w:val="16"/>
                <w:szCs w:val="16"/>
                <w:lang w:val="en-GB"/>
              </w:rPr>
              <w:t xml:space="preserve">and benefit </w:t>
            </w:r>
            <w:r w:rsidR="00E0144E" w:rsidRPr="001B1448">
              <w:rPr>
                <w:rFonts w:ascii="Arial" w:hAnsi="Arial" w:cs="Arial"/>
                <w:sz w:val="16"/>
                <w:szCs w:val="16"/>
                <w:lang w:val="en-GB"/>
              </w:rPr>
              <w:t>guaranteed by the State</w:t>
            </w:r>
            <w:r w:rsidR="00A36497" w:rsidRPr="001B1448">
              <w:rPr>
                <w:rFonts w:ascii="Arial" w:hAnsi="Arial" w:cs="Arial"/>
                <w:sz w:val="16"/>
                <w:szCs w:val="16"/>
                <w:lang w:val="en-GB"/>
              </w:rPr>
              <w:t>.</w:t>
            </w:r>
            <w:r w:rsidR="002F0E80" w:rsidRPr="001B1448">
              <w:rPr>
                <w:rFonts w:ascii="Arial" w:hAnsi="Arial" w:cs="Arial"/>
                <w:sz w:val="16"/>
                <w:szCs w:val="16"/>
                <w:lang w:val="en-GB"/>
              </w:rPr>
              <w:t xml:space="preserve"> </w:t>
            </w:r>
          </w:p>
          <w:p w:rsidR="009F02C9" w:rsidRPr="001B1448" w:rsidRDefault="009F02C9" w:rsidP="001B1448">
            <w:pPr>
              <w:ind w:left="64"/>
              <w:jc w:val="both"/>
              <w:rPr>
                <w:rFonts w:ascii="Arial" w:hAnsi="Arial" w:cs="Arial"/>
                <w:sz w:val="16"/>
                <w:szCs w:val="16"/>
                <w:lang w:val="en-GB"/>
              </w:rPr>
            </w:pPr>
          </w:p>
          <w:p w:rsidR="00E8470C" w:rsidRPr="006461D5" w:rsidRDefault="003F2B8F" w:rsidP="00E8470C">
            <w:pPr>
              <w:ind w:left="58"/>
              <w:jc w:val="both"/>
              <w:rPr>
                <w:rFonts w:ascii="Arial" w:hAnsi="Arial" w:cs="Arial"/>
                <w:color w:val="222222"/>
                <w:sz w:val="16"/>
                <w:szCs w:val="16"/>
              </w:rPr>
            </w:pPr>
            <w:r w:rsidRPr="001B1448">
              <w:rPr>
                <w:rFonts w:ascii="Arial" w:hAnsi="Arial" w:cs="Arial"/>
                <w:color w:val="000000"/>
                <w:sz w:val="16"/>
                <w:szCs w:val="16"/>
              </w:rPr>
              <w:t>Civic registration is a prerequisite for being able to enjoy the rights of education and medical care and to later obtain a passport. In addition, registration of marriage is an important element of the protection of the property rights of women and children in the family.</w:t>
            </w:r>
            <w:r w:rsidR="00E8470C" w:rsidRPr="006461D5">
              <w:rPr>
                <w:rFonts w:ascii="Arial" w:hAnsi="Arial" w:cs="Arial"/>
                <w:b/>
                <w:color w:val="222222"/>
                <w:sz w:val="16"/>
                <w:szCs w:val="16"/>
              </w:rPr>
              <w:t xml:space="preserve"> </w:t>
            </w:r>
            <w:r w:rsidR="00E8470C" w:rsidRPr="00E8470C">
              <w:rPr>
                <w:rFonts w:ascii="Arial" w:hAnsi="Arial" w:cs="Arial"/>
                <w:color w:val="222222"/>
                <w:sz w:val="16"/>
                <w:szCs w:val="16"/>
              </w:rPr>
              <w:t>Recognizing the challenges</w:t>
            </w:r>
            <w:r w:rsidR="00E8470C">
              <w:rPr>
                <w:rFonts w:ascii="Arial" w:hAnsi="Arial" w:cs="Arial"/>
                <w:b/>
                <w:color w:val="222222"/>
                <w:sz w:val="16"/>
                <w:szCs w:val="16"/>
              </w:rPr>
              <w:t xml:space="preserve"> </w:t>
            </w:r>
            <w:r w:rsidR="00E8470C" w:rsidRPr="00E8470C">
              <w:rPr>
                <w:rFonts w:ascii="Arial" w:hAnsi="Arial" w:cs="Arial"/>
                <w:color w:val="222222"/>
                <w:sz w:val="16"/>
                <w:szCs w:val="16"/>
              </w:rPr>
              <w:t xml:space="preserve">of the current civil registration system and their impact </w:t>
            </w:r>
            <w:r w:rsidR="00E8470C">
              <w:rPr>
                <w:rFonts w:ascii="Arial" w:hAnsi="Arial" w:cs="Arial"/>
                <w:color w:val="222222"/>
                <w:sz w:val="16"/>
                <w:szCs w:val="16"/>
              </w:rPr>
              <w:t>on an important number of populations, especially the most vulnerable, especially women and children, the Government of Tajikistan approved in 2014 t</w:t>
            </w:r>
            <w:r w:rsidR="00E8470C" w:rsidRPr="00E8470C">
              <w:rPr>
                <w:rFonts w:ascii="Arial" w:hAnsi="Arial" w:cs="Arial"/>
                <w:color w:val="222222"/>
                <w:sz w:val="16"/>
                <w:szCs w:val="16"/>
              </w:rPr>
              <w:t>he ZAGS Development program for 2014-2019</w:t>
            </w:r>
            <w:r w:rsidR="00E8470C" w:rsidRPr="006461D5">
              <w:rPr>
                <w:rFonts w:ascii="Arial" w:hAnsi="Arial" w:cs="Arial"/>
                <w:color w:val="222222"/>
                <w:sz w:val="16"/>
                <w:szCs w:val="16"/>
              </w:rPr>
              <w:t xml:space="preserve">. </w:t>
            </w:r>
            <w:r w:rsidR="00E8470C">
              <w:rPr>
                <w:rFonts w:ascii="Arial" w:hAnsi="Arial" w:cs="Arial"/>
                <w:color w:val="222222"/>
                <w:sz w:val="16"/>
                <w:szCs w:val="16"/>
              </w:rPr>
              <w:t xml:space="preserve">The </w:t>
            </w:r>
            <w:proofErr w:type="spellStart"/>
            <w:r w:rsidR="00E8470C">
              <w:rPr>
                <w:rFonts w:ascii="Arial" w:hAnsi="Arial" w:cs="Arial"/>
                <w:color w:val="222222"/>
                <w:sz w:val="16"/>
                <w:szCs w:val="16"/>
              </w:rPr>
              <w:t>programme</w:t>
            </w:r>
            <w:proofErr w:type="spellEnd"/>
            <w:r w:rsidR="00E8470C">
              <w:rPr>
                <w:rFonts w:ascii="Arial" w:hAnsi="Arial" w:cs="Arial"/>
                <w:color w:val="222222"/>
                <w:sz w:val="16"/>
                <w:szCs w:val="16"/>
              </w:rPr>
              <w:t xml:space="preserve"> </w:t>
            </w:r>
            <w:r w:rsidR="00E8470C" w:rsidRPr="006461D5">
              <w:rPr>
                <w:rFonts w:ascii="Arial" w:hAnsi="Arial" w:cs="Arial"/>
                <w:color w:val="222222"/>
                <w:sz w:val="16"/>
                <w:szCs w:val="16"/>
              </w:rPr>
              <w:t>is based on the existing legislation and policy documents (the Law "On state registration of acts of civil status", National Development Strategy of the Republic of Tajikistan until 2015 and "Strategies for improving the welfare of the population of Tajikistan for 2013 -2015, Resolution of the Government of the Republic of Tajikistan "On results of socio-economic development of the Republic of Tajikist</w:t>
            </w:r>
            <w:r w:rsidR="00E8470C">
              <w:rPr>
                <w:rFonts w:ascii="Arial" w:hAnsi="Arial" w:cs="Arial"/>
                <w:color w:val="222222"/>
                <w:sz w:val="16"/>
                <w:szCs w:val="16"/>
              </w:rPr>
              <w:t>an in 2012 and tasks for 2013 ),</w:t>
            </w:r>
            <w:r w:rsidR="00E8470C" w:rsidRPr="006461D5">
              <w:rPr>
                <w:rFonts w:ascii="Arial" w:hAnsi="Arial" w:cs="Arial"/>
                <w:color w:val="222222"/>
                <w:sz w:val="16"/>
                <w:szCs w:val="16"/>
              </w:rPr>
              <w:t>outlines the main problems in the functioning of the ZAGS system in Tajikistan and proposes certain measures to address the deficiencies. The measures proposed include institution building, introduction of new mechanisms to provide services to clients through one stop shops and electronic submission of documents, regulation of services and development of minimum quality standards for services; simplification of the system by removing requirements for submitting certain unnecessary documents by citizens; commitment to providing additional resources and building new premises for ZAGS structures in the country and commitment to building the staff competency by providing continuous training.</w:t>
            </w:r>
          </w:p>
          <w:p w:rsidR="003F2B8F" w:rsidRDefault="003F2B8F" w:rsidP="00E8470C">
            <w:pPr>
              <w:ind w:left="58"/>
              <w:jc w:val="both"/>
              <w:rPr>
                <w:rFonts w:ascii="Arial" w:hAnsi="Arial" w:cs="Arial"/>
                <w:color w:val="000000"/>
                <w:sz w:val="16"/>
                <w:szCs w:val="16"/>
              </w:rPr>
            </w:pPr>
          </w:p>
          <w:p w:rsidR="009F02C9" w:rsidRPr="00AB0306" w:rsidRDefault="00B44D0C" w:rsidP="00D61051">
            <w:pPr>
              <w:ind w:left="58"/>
              <w:jc w:val="both"/>
              <w:rPr>
                <w:rFonts w:ascii="Arial" w:hAnsi="Arial" w:cs="Arial"/>
                <w:b/>
                <w:sz w:val="16"/>
                <w:szCs w:val="16"/>
                <w:lang w:val="en-GB"/>
              </w:rPr>
            </w:pPr>
            <w:r>
              <w:rPr>
                <w:rFonts w:ascii="Arial" w:hAnsi="Arial" w:cs="Arial"/>
                <w:color w:val="000000"/>
                <w:sz w:val="16"/>
                <w:szCs w:val="16"/>
              </w:rPr>
              <w:t>While the Government effort to improve the civil registration system is commendable, the functional review of the n</w:t>
            </w:r>
            <w:r w:rsidRPr="00B44D0C">
              <w:rPr>
                <w:rFonts w:ascii="Arial" w:hAnsi="Arial" w:cs="Arial"/>
                <w:sz w:val="16"/>
                <w:szCs w:val="16"/>
              </w:rPr>
              <w:t xml:space="preserve">otary and </w:t>
            </w:r>
            <w:r>
              <w:rPr>
                <w:rFonts w:ascii="Arial" w:hAnsi="Arial" w:cs="Arial"/>
                <w:sz w:val="16"/>
                <w:szCs w:val="16"/>
              </w:rPr>
              <w:t>c</w:t>
            </w:r>
            <w:r w:rsidRPr="00B44D0C">
              <w:rPr>
                <w:rFonts w:ascii="Arial" w:hAnsi="Arial" w:cs="Arial"/>
                <w:sz w:val="16"/>
                <w:szCs w:val="16"/>
              </w:rPr>
              <w:t xml:space="preserve">ivil registration systems in Tajikistan </w:t>
            </w:r>
            <w:r w:rsidR="00586DBF" w:rsidRPr="00B44D0C">
              <w:rPr>
                <w:rFonts w:ascii="Arial" w:hAnsi="Arial" w:cs="Arial"/>
                <w:sz w:val="16"/>
                <w:szCs w:val="16"/>
                <w:lang w:val="en-GB"/>
              </w:rPr>
              <w:t>reveals</w:t>
            </w:r>
            <w:r w:rsidR="00983CDA" w:rsidRPr="00B44D0C">
              <w:rPr>
                <w:rFonts w:ascii="Arial" w:hAnsi="Arial" w:cs="Arial"/>
                <w:sz w:val="16"/>
                <w:szCs w:val="16"/>
                <w:lang w:val="en-GB"/>
              </w:rPr>
              <w:t xml:space="preserve"> </w:t>
            </w:r>
            <w:r w:rsidRPr="00B44D0C">
              <w:rPr>
                <w:rFonts w:ascii="Arial" w:hAnsi="Arial" w:cs="Arial"/>
                <w:sz w:val="16"/>
                <w:szCs w:val="16"/>
                <w:lang w:val="en-GB"/>
              </w:rPr>
              <w:t xml:space="preserve">important </w:t>
            </w:r>
            <w:r w:rsidR="00D61051">
              <w:rPr>
                <w:rFonts w:ascii="Arial" w:hAnsi="Arial" w:cs="Arial"/>
                <w:sz w:val="16"/>
                <w:szCs w:val="16"/>
                <w:lang w:val="en-GB"/>
              </w:rPr>
              <w:t xml:space="preserve">capacity gaps in the implementation of the programme in general and in service delivery in particular </w:t>
            </w:r>
            <w:r w:rsidR="00983CDA" w:rsidRPr="00B44D0C">
              <w:rPr>
                <w:rFonts w:ascii="Arial" w:hAnsi="Arial" w:cs="Arial"/>
                <w:sz w:val="16"/>
                <w:szCs w:val="16"/>
                <w:lang w:val="en-GB"/>
              </w:rPr>
              <w:t xml:space="preserve">resulting from weak implementation of policies </w:t>
            </w:r>
            <w:r w:rsidRPr="00B44D0C">
              <w:rPr>
                <w:rFonts w:ascii="Arial" w:hAnsi="Arial" w:cs="Arial"/>
                <w:sz w:val="16"/>
                <w:szCs w:val="16"/>
                <w:lang w:val="en-GB"/>
              </w:rPr>
              <w:t xml:space="preserve">and laws </w:t>
            </w:r>
            <w:r w:rsidR="00983CDA" w:rsidRPr="00B44D0C">
              <w:rPr>
                <w:rFonts w:ascii="Arial" w:hAnsi="Arial" w:cs="Arial"/>
                <w:sz w:val="16"/>
                <w:szCs w:val="16"/>
                <w:lang w:val="en-GB"/>
              </w:rPr>
              <w:t xml:space="preserve">and </w:t>
            </w:r>
            <w:r w:rsidRPr="00B44D0C">
              <w:rPr>
                <w:rFonts w:ascii="Arial" w:hAnsi="Arial" w:cs="Arial"/>
                <w:sz w:val="16"/>
                <w:szCs w:val="16"/>
                <w:lang w:val="en-GB"/>
              </w:rPr>
              <w:t>lack</w:t>
            </w:r>
            <w:r>
              <w:rPr>
                <w:rFonts w:ascii="Arial" w:hAnsi="Arial" w:cs="Arial"/>
                <w:sz w:val="16"/>
                <w:szCs w:val="16"/>
                <w:lang w:val="en-GB"/>
              </w:rPr>
              <w:t xml:space="preserve"> of </w:t>
            </w:r>
            <w:r w:rsidR="00983CDA">
              <w:rPr>
                <w:rFonts w:ascii="Arial" w:hAnsi="Arial" w:cs="Arial"/>
                <w:sz w:val="16"/>
                <w:szCs w:val="16"/>
                <w:lang w:val="en-GB"/>
              </w:rPr>
              <w:t>procedures</w:t>
            </w:r>
            <w:r w:rsidR="00E12CE2">
              <w:rPr>
                <w:rFonts w:ascii="Arial" w:hAnsi="Arial" w:cs="Arial"/>
                <w:sz w:val="16"/>
                <w:szCs w:val="16"/>
                <w:lang w:val="en-GB"/>
              </w:rPr>
              <w:t xml:space="preserve"> and mechanisms for evidence based planning and decision making</w:t>
            </w:r>
            <w:r w:rsidR="00983CDA">
              <w:rPr>
                <w:rFonts w:ascii="Arial" w:hAnsi="Arial" w:cs="Arial"/>
                <w:sz w:val="16"/>
                <w:szCs w:val="16"/>
                <w:lang w:val="en-GB"/>
              </w:rPr>
              <w:t>. These problems are especially prominent in remote and hard to access areas of Tajikistan</w:t>
            </w:r>
            <w:r w:rsidR="001867B9">
              <w:rPr>
                <w:rFonts w:ascii="Arial" w:hAnsi="Arial" w:cs="Arial"/>
                <w:sz w:val="16"/>
                <w:szCs w:val="16"/>
                <w:lang w:val="en-GB"/>
              </w:rPr>
              <w:t xml:space="preserve"> whereas the service provision is complicated by different accessibility factors (distance to district centre,</w:t>
            </w:r>
            <w:r w:rsidR="002F3023">
              <w:rPr>
                <w:rFonts w:ascii="Arial" w:hAnsi="Arial" w:cs="Arial"/>
                <w:sz w:val="16"/>
                <w:szCs w:val="16"/>
                <w:lang w:val="en-GB"/>
              </w:rPr>
              <w:t xml:space="preserve"> </w:t>
            </w:r>
            <w:r w:rsidR="00427FB3">
              <w:rPr>
                <w:rFonts w:ascii="Arial" w:hAnsi="Arial" w:cs="Arial"/>
                <w:sz w:val="16"/>
                <w:szCs w:val="16"/>
                <w:lang w:val="en-GB"/>
              </w:rPr>
              <w:t xml:space="preserve">poor capacity of Jamoat officers to provide high quality services, </w:t>
            </w:r>
            <w:r w:rsidR="002F3023">
              <w:rPr>
                <w:rFonts w:ascii="Arial" w:hAnsi="Arial" w:cs="Arial"/>
                <w:sz w:val="16"/>
                <w:szCs w:val="16"/>
                <w:lang w:val="en-GB"/>
              </w:rPr>
              <w:t xml:space="preserve">etc) further making the service </w:t>
            </w:r>
            <w:r w:rsidR="00427FB3">
              <w:rPr>
                <w:rFonts w:ascii="Arial" w:hAnsi="Arial" w:cs="Arial"/>
                <w:sz w:val="16"/>
                <w:szCs w:val="16"/>
                <w:lang w:val="en-GB"/>
              </w:rPr>
              <w:t xml:space="preserve">unavailable and/or </w:t>
            </w:r>
            <w:r w:rsidR="002F3023">
              <w:rPr>
                <w:rFonts w:ascii="Arial" w:hAnsi="Arial" w:cs="Arial"/>
                <w:sz w:val="16"/>
                <w:szCs w:val="16"/>
                <w:lang w:val="en-GB"/>
              </w:rPr>
              <w:t>unaffordable.</w:t>
            </w:r>
          </w:p>
        </w:tc>
      </w:tr>
      <w:tr w:rsidR="005F417A" w:rsidRPr="00E7076C" w:rsidTr="0048209A">
        <w:trPr>
          <w:tblCellSpacing w:w="0" w:type="dxa"/>
        </w:trPr>
        <w:tc>
          <w:tcPr>
            <w:tcW w:w="1044" w:type="pct"/>
            <w:shd w:val="clear" w:color="auto" w:fill="auto"/>
          </w:tcPr>
          <w:p w:rsidR="005F417A" w:rsidRPr="00E7076C" w:rsidRDefault="005F417A" w:rsidP="00D103D3">
            <w:pPr>
              <w:rPr>
                <w:rFonts w:ascii="Arial" w:hAnsi="Arial" w:cs="Arial"/>
                <w:sz w:val="16"/>
                <w:szCs w:val="16"/>
              </w:rPr>
            </w:pPr>
            <w:r w:rsidRPr="00E7076C">
              <w:rPr>
                <w:rFonts w:ascii="Arial" w:hAnsi="Arial" w:cs="Arial"/>
                <w:b/>
                <w:bCs/>
                <w:sz w:val="16"/>
                <w:szCs w:val="16"/>
              </w:rPr>
              <w:t>Objective</w:t>
            </w:r>
            <w:r>
              <w:rPr>
                <w:rFonts w:ascii="Arial" w:hAnsi="Arial" w:cs="Arial"/>
                <w:b/>
                <w:bCs/>
                <w:sz w:val="16"/>
                <w:szCs w:val="16"/>
              </w:rPr>
              <w:t xml:space="preserve"> and outcomes</w:t>
            </w:r>
            <w:r w:rsidRPr="00E7076C">
              <w:rPr>
                <w:rFonts w:ascii="Arial" w:hAnsi="Arial" w:cs="Arial"/>
                <w:b/>
                <w:bCs/>
                <w:sz w:val="16"/>
                <w:szCs w:val="16"/>
              </w:rPr>
              <w:t>:</w:t>
            </w:r>
          </w:p>
        </w:tc>
        <w:tc>
          <w:tcPr>
            <w:tcW w:w="3956" w:type="pct"/>
            <w:shd w:val="clear" w:color="auto" w:fill="auto"/>
          </w:tcPr>
          <w:p w:rsidR="005F417A" w:rsidRPr="002E4EE3" w:rsidRDefault="005F417A" w:rsidP="007C78C8">
            <w:pPr>
              <w:ind w:left="64"/>
              <w:jc w:val="both"/>
              <w:rPr>
                <w:rFonts w:ascii="Arial" w:hAnsi="Arial" w:cs="Arial"/>
                <w:b/>
                <w:sz w:val="16"/>
                <w:szCs w:val="16"/>
              </w:rPr>
            </w:pPr>
            <w:r w:rsidRPr="002E4EE3">
              <w:rPr>
                <w:rFonts w:ascii="Arial" w:hAnsi="Arial" w:cs="Arial"/>
                <w:b/>
                <w:sz w:val="16"/>
                <w:szCs w:val="16"/>
              </w:rPr>
              <w:t xml:space="preserve">The project objective is to </w:t>
            </w:r>
            <w:r w:rsidR="00EB5EED">
              <w:rPr>
                <w:rFonts w:ascii="Arial" w:hAnsi="Arial" w:cs="Arial"/>
                <w:b/>
                <w:sz w:val="16"/>
                <w:szCs w:val="16"/>
              </w:rPr>
              <w:t xml:space="preserve">enhance the access of vulnerable population </w:t>
            </w:r>
            <w:r w:rsidR="00E12CE2">
              <w:rPr>
                <w:rFonts w:ascii="Arial" w:hAnsi="Arial" w:cs="Arial"/>
                <w:b/>
                <w:sz w:val="16"/>
                <w:szCs w:val="16"/>
              </w:rPr>
              <w:t>of Tajikistan, especially women, children and persons with disabilities</w:t>
            </w:r>
            <w:r w:rsidR="00EB5EED">
              <w:rPr>
                <w:rFonts w:ascii="Arial" w:hAnsi="Arial" w:cs="Arial"/>
                <w:b/>
                <w:sz w:val="16"/>
                <w:szCs w:val="16"/>
              </w:rPr>
              <w:t xml:space="preserve"> to affordable and accessible civil registration services</w:t>
            </w:r>
          </w:p>
          <w:p w:rsidR="005F417A" w:rsidRPr="002E4EE3" w:rsidRDefault="005F417A" w:rsidP="007C78C8">
            <w:pPr>
              <w:ind w:left="64"/>
              <w:jc w:val="both"/>
              <w:rPr>
                <w:rFonts w:ascii="Arial" w:hAnsi="Arial" w:cs="Arial"/>
                <w:sz w:val="16"/>
                <w:szCs w:val="16"/>
              </w:rPr>
            </w:pPr>
          </w:p>
          <w:p w:rsidR="005F417A" w:rsidRDefault="008D3F7B" w:rsidP="007C78C8">
            <w:pPr>
              <w:ind w:left="64"/>
              <w:jc w:val="both"/>
              <w:rPr>
                <w:rFonts w:ascii="Arial" w:hAnsi="Arial" w:cs="Arial"/>
                <w:sz w:val="16"/>
                <w:szCs w:val="16"/>
              </w:rPr>
            </w:pPr>
            <w:r>
              <w:rPr>
                <w:rFonts w:ascii="Arial" w:hAnsi="Arial" w:cs="Arial"/>
                <w:sz w:val="16"/>
                <w:szCs w:val="16"/>
              </w:rPr>
              <w:t>The project has four</w:t>
            </w:r>
            <w:r w:rsidR="005F417A" w:rsidRPr="002E4EE3">
              <w:rPr>
                <w:rFonts w:ascii="Arial" w:hAnsi="Arial" w:cs="Arial"/>
                <w:sz w:val="16"/>
                <w:szCs w:val="16"/>
              </w:rPr>
              <w:t xml:space="preserve"> identified outcomes that together will produce the impact:</w:t>
            </w:r>
          </w:p>
          <w:p w:rsidR="005F417A" w:rsidRPr="002E4EE3" w:rsidRDefault="005F417A" w:rsidP="008D3F7B">
            <w:pPr>
              <w:spacing w:before="120" w:after="120"/>
              <w:ind w:left="62"/>
              <w:jc w:val="both"/>
              <w:rPr>
                <w:rFonts w:ascii="Arial" w:hAnsi="Arial" w:cs="Arial"/>
                <w:sz w:val="16"/>
                <w:szCs w:val="16"/>
              </w:rPr>
            </w:pPr>
            <w:r w:rsidRPr="00D103D3">
              <w:rPr>
                <w:rFonts w:ascii="Arial" w:hAnsi="Arial" w:cs="Arial"/>
                <w:b/>
                <w:sz w:val="16"/>
                <w:szCs w:val="16"/>
              </w:rPr>
              <w:t>Outcome 1</w:t>
            </w:r>
            <w:r w:rsidRPr="002E4EE3">
              <w:rPr>
                <w:rFonts w:ascii="Arial" w:hAnsi="Arial" w:cs="Arial"/>
                <w:sz w:val="16"/>
                <w:szCs w:val="16"/>
              </w:rPr>
              <w:t>:</w:t>
            </w:r>
            <w:r>
              <w:rPr>
                <w:rFonts w:ascii="Arial" w:hAnsi="Arial" w:cs="Arial"/>
                <w:sz w:val="16"/>
                <w:szCs w:val="16"/>
              </w:rPr>
              <w:t xml:space="preserve"> </w:t>
            </w:r>
            <w:r w:rsidR="008E6A81" w:rsidRPr="008E6A81">
              <w:rPr>
                <w:rFonts w:ascii="Arial" w:hAnsi="Arial" w:cs="Arial"/>
                <w:b/>
                <w:sz w:val="16"/>
                <w:szCs w:val="16"/>
              </w:rPr>
              <w:t xml:space="preserve">Policy and legal framework, including </w:t>
            </w:r>
            <w:r w:rsidR="008E6A81" w:rsidRPr="008E6A81">
              <w:rPr>
                <w:rFonts w:ascii="Arial" w:hAnsi="Arial" w:cs="Arial"/>
                <w:b/>
                <w:color w:val="222222"/>
                <w:sz w:val="16"/>
                <w:szCs w:val="16"/>
              </w:rPr>
              <w:t>regulation of services and development of minimum quality standards for services</w:t>
            </w:r>
            <w:r w:rsidR="00F57660">
              <w:rPr>
                <w:rFonts w:ascii="Arial" w:hAnsi="Arial" w:cs="Arial"/>
                <w:color w:val="222222"/>
                <w:sz w:val="16"/>
                <w:szCs w:val="16"/>
              </w:rPr>
              <w:t xml:space="preserve"> and</w:t>
            </w:r>
            <w:r w:rsidR="008E6A81" w:rsidRPr="006461D5">
              <w:rPr>
                <w:rFonts w:ascii="Arial" w:hAnsi="Arial" w:cs="Arial"/>
                <w:color w:val="222222"/>
                <w:sz w:val="16"/>
                <w:szCs w:val="16"/>
              </w:rPr>
              <w:t xml:space="preserve"> simplification of the system</w:t>
            </w:r>
            <w:r w:rsidR="008E6A81">
              <w:rPr>
                <w:rFonts w:ascii="Arial" w:hAnsi="Arial" w:cs="Arial"/>
                <w:color w:val="222222"/>
                <w:sz w:val="16"/>
                <w:szCs w:val="16"/>
              </w:rPr>
              <w:t>,</w:t>
            </w:r>
            <w:r w:rsidR="008E6A81" w:rsidRPr="006461D5">
              <w:rPr>
                <w:rFonts w:ascii="Arial" w:hAnsi="Arial" w:cs="Arial"/>
                <w:color w:val="222222"/>
                <w:sz w:val="16"/>
                <w:szCs w:val="16"/>
              </w:rPr>
              <w:t xml:space="preserve"> </w:t>
            </w:r>
            <w:r w:rsidR="008E6A81">
              <w:rPr>
                <w:rFonts w:ascii="Arial" w:hAnsi="Arial" w:cs="Arial"/>
                <w:sz w:val="16"/>
                <w:szCs w:val="16"/>
              </w:rPr>
              <w:t>improved</w:t>
            </w:r>
            <w:r w:rsidR="00DD30E5">
              <w:rPr>
                <w:rFonts w:ascii="Arial" w:hAnsi="Arial" w:cs="Arial"/>
                <w:sz w:val="16"/>
                <w:szCs w:val="16"/>
              </w:rPr>
              <w:t>;</w:t>
            </w:r>
          </w:p>
          <w:p w:rsidR="001A710F" w:rsidRPr="008E6A81" w:rsidRDefault="005F417A" w:rsidP="001A710F">
            <w:pPr>
              <w:tabs>
                <w:tab w:val="left" w:pos="709"/>
                <w:tab w:val="left" w:pos="1418"/>
              </w:tabs>
              <w:ind w:left="58"/>
              <w:jc w:val="both"/>
              <w:rPr>
                <w:rFonts w:ascii="Arial" w:hAnsi="Arial" w:cs="Arial"/>
                <w:sz w:val="16"/>
                <w:szCs w:val="16"/>
              </w:rPr>
            </w:pPr>
            <w:r w:rsidRPr="00D103D3">
              <w:rPr>
                <w:rFonts w:ascii="Arial" w:hAnsi="Arial" w:cs="Arial"/>
                <w:b/>
                <w:sz w:val="16"/>
                <w:szCs w:val="16"/>
              </w:rPr>
              <w:t>Outcome 2</w:t>
            </w:r>
            <w:r w:rsidRPr="002E4EE3">
              <w:rPr>
                <w:rFonts w:ascii="Arial" w:hAnsi="Arial" w:cs="Arial"/>
                <w:sz w:val="16"/>
                <w:szCs w:val="16"/>
              </w:rPr>
              <w:t>:</w:t>
            </w:r>
            <w:r>
              <w:rPr>
                <w:rFonts w:ascii="Arial" w:hAnsi="Arial" w:cs="Arial"/>
                <w:sz w:val="16"/>
                <w:szCs w:val="16"/>
              </w:rPr>
              <w:t xml:space="preserve"> </w:t>
            </w:r>
            <w:r w:rsidR="008E6A81" w:rsidRPr="008E6A81">
              <w:rPr>
                <w:rFonts w:ascii="Arial" w:hAnsi="Arial" w:cs="Arial"/>
                <w:b/>
                <w:sz w:val="16"/>
                <w:szCs w:val="16"/>
              </w:rPr>
              <w:t>Automated Civil Registration System developed and implemented</w:t>
            </w:r>
            <w:r w:rsidR="008E6A81">
              <w:rPr>
                <w:rFonts w:ascii="Arial" w:hAnsi="Arial" w:cs="Arial"/>
                <w:sz w:val="16"/>
                <w:szCs w:val="16"/>
              </w:rPr>
              <w:t xml:space="preserve"> (software system development);</w:t>
            </w:r>
          </w:p>
          <w:p w:rsidR="001A710F" w:rsidRDefault="001A710F" w:rsidP="001A710F">
            <w:pPr>
              <w:tabs>
                <w:tab w:val="left" w:pos="709"/>
                <w:tab w:val="left" w:pos="1418"/>
              </w:tabs>
              <w:ind w:left="58"/>
              <w:jc w:val="both"/>
              <w:rPr>
                <w:rFonts w:ascii="Arial" w:hAnsi="Arial" w:cs="Arial"/>
                <w:b/>
                <w:sz w:val="16"/>
                <w:szCs w:val="16"/>
              </w:rPr>
            </w:pPr>
          </w:p>
          <w:p w:rsidR="001A710F" w:rsidRPr="00641E86" w:rsidRDefault="005F417A" w:rsidP="001A710F">
            <w:pPr>
              <w:tabs>
                <w:tab w:val="left" w:pos="709"/>
                <w:tab w:val="left" w:pos="1418"/>
              </w:tabs>
              <w:ind w:left="58"/>
              <w:jc w:val="both"/>
              <w:rPr>
                <w:rFonts w:ascii="Arial" w:hAnsi="Arial" w:cs="Arial"/>
                <w:sz w:val="16"/>
                <w:szCs w:val="16"/>
              </w:rPr>
            </w:pPr>
            <w:r w:rsidRPr="00D103D3">
              <w:rPr>
                <w:rFonts w:ascii="Arial" w:hAnsi="Arial" w:cs="Arial"/>
                <w:b/>
                <w:sz w:val="16"/>
                <w:szCs w:val="16"/>
              </w:rPr>
              <w:t>Outcome 3</w:t>
            </w:r>
            <w:r w:rsidRPr="002E4EE3">
              <w:rPr>
                <w:rFonts w:ascii="Arial" w:hAnsi="Arial" w:cs="Arial"/>
                <w:sz w:val="16"/>
                <w:szCs w:val="16"/>
              </w:rPr>
              <w:t>:</w:t>
            </w:r>
            <w:r w:rsidR="009255A3">
              <w:rPr>
                <w:rFonts w:ascii="Arial" w:hAnsi="Arial" w:cs="Arial"/>
                <w:sz w:val="16"/>
                <w:szCs w:val="16"/>
              </w:rPr>
              <w:t xml:space="preserve"> </w:t>
            </w:r>
            <w:r w:rsidR="001A710F" w:rsidRPr="00641E86">
              <w:rPr>
                <w:rFonts w:ascii="Arial" w:hAnsi="Arial" w:cs="Arial"/>
                <w:b/>
                <w:bCs/>
                <w:sz w:val="16"/>
                <w:szCs w:val="16"/>
              </w:rPr>
              <w:t xml:space="preserve">Authorities responsible for state registration of civil status acts </w:t>
            </w:r>
            <w:r w:rsidR="001A710F">
              <w:rPr>
                <w:rFonts w:ascii="Arial" w:hAnsi="Arial" w:cs="Arial"/>
                <w:b/>
                <w:bCs/>
                <w:sz w:val="16"/>
                <w:szCs w:val="16"/>
              </w:rPr>
              <w:t xml:space="preserve">have better capacity and are </w:t>
            </w:r>
            <w:r w:rsidR="001A710F" w:rsidRPr="00641E86">
              <w:rPr>
                <w:rFonts w:ascii="Arial" w:hAnsi="Arial" w:cs="Arial"/>
                <w:b/>
                <w:bCs/>
                <w:sz w:val="16"/>
                <w:szCs w:val="16"/>
              </w:rPr>
              <w:t xml:space="preserve">equipped with needed equipment </w:t>
            </w:r>
            <w:r w:rsidR="001A710F" w:rsidRPr="00641E86">
              <w:rPr>
                <w:rFonts w:ascii="Arial" w:hAnsi="Arial" w:cs="Arial"/>
                <w:sz w:val="16"/>
                <w:szCs w:val="16"/>
              </w:rPr>
              <w:t xml:space="preserve">to enable them to provide better services to the population, keep the information and transfer daily information to the state register, </w:t>
            </w:r>
            <w:r w:rsidR="001A710F" w:rsidRPr="00641E86">
              <w:rPr>
                <w:rFonts w:ascii="Arial" w:hAnsi="Arial" w:cs="Arial"/>
                <w:b/>
                <w:bCs/>
                <w:sz w:val="16"/>
                <w:szCs w:val="16"/>
              </w:rPr>
              <w:t>connecting entities to the electronic communication network</w:t>
            </w:r>
            <w:r w:rsidR="001A710F" w:rsidRPr="00641E86">
              <w:rPr>
                <w:rFonts w:ascii="Arial" w:hAnsi="Arial" w:cs="Arial"/>
                <w:sz w:val="16"/>
                <w:szCs w:val="16"/>
              </w:rPr>
              <w:t xml:space="preserve"> </w:t>
            </w:r>
            <w:r w:rsidR="001A710F" w:rsidRPr="00641E86">
              <w:rPr>
                <w:rFonts w:ascii="Arial" w:hAnsi="Arial" w:cs="Arial"/>
                <w:b/>
                <w:bCs/>
                <w:sz w:val="16"/>
                <w:szCs w:val="16"/>
              </w:rPr>
              <w:t xml:space="preserve">of Electronic Information Bank of Civil Status Acts; </w:t>
            </w:r>
            <w:r w:rsidR="001A710F" w:rsidRPr="00641E86">
              <w:rPr>
                <w:rFonts w:ascii="Arial" w:hAnsi="Arial" w:cs="Arial"/>
                <w:sz w:val="16"/>
                <w:szCs w:val="16"/>
              </w:rPr>
              <w:t>the equipped authorities are the Ministry of Justice of the Republic of Tajikistan and subordinated bodies and all state authorities responsible for registration of civil status acts.</w:t>
            </w:r>
          </w:p>
          <w:p w:rsidR="005F417A" w:rsidRDefault="005F417A" w:rsidP="008D3F7B">
            <w:pPr>
              <w:spacing w:before="120" w:after="120"/>
              <w:ind w:left="62"/>
              <w:jc w:val="both"/>
              <w:rPr>
                <w:rFonts w:ascii="Arial" w:hAnsi="Arial" w:cs="Arial"/>
                <w:sz w:val="16"/>
                <w:szCs w:val="16"/>
              </w:rPr>
            </w:pPr>
            <w:r w:rsidRPr="00D103D3">
              <w:rPr>
                <w:rFonts w:ascii="Arial" w:hAnsi="Arial" w:cs="Arial"/>
                <w:b/>
                <w:sz w:val="16"/>
                <w:szCs w:val="16"/>
              </w:rPr>
              <w:t>Outcome</w:t>
            </w:r>
            <w:r>
              <w:rPr>
                <w:rFonts w:ascii="Arial" w:hAnsi="Arial" w:cs="Arial"/>
                <w:b/>
                <w:sz w:val="16"/>
                <w:szCs w:val="16"/>
              </w:rPr>
              <w:t xml:space="preserve"> </w:t>
            </w:r>
            <w:r w:rsidRPr="00D103D3">
              <w:rPr>
                <w:rFonts w:ascii="Arial" w:hAnsi="Arial" w:cs="Arial"/>
                <w:b/>
                <w:sz w:val="16"/>
                <w:szCs w:val="16"/>
              </w:rPr>
              <w:t>4</w:t>
            </w:r>
            <w:r w:rsidRPr="008E6A81">
              <w:rPr>
                <w:rFonts w:ascii="Arial" w:hAnsi="Arial" w:cs="Arial"/>
                <w:b/>
                <w:sz w:val="16"/>
                <w:szCs w:val="16"/>
              </w:rPr>
              <w:t>:</w:t>
            </w:r>
            <w:r w:rsidR="00F7665E" w:rsidRPr="008E6A81">
              <w:rPr>
                <w:rFonts w:ascii="Arial" w:hAnsi="Arial" w:cs="Arial"/>
                <w:b/>
                <w:i/>
                <w:sz w:val="16"/>
                <w:szCs w:val="16"/>
              </w:rPr>
              <w:t xml:space="preserve"> </w:t>
            </w:r>
            <w:r w:rsidR="008E6A81" w:rsidRPr="008E6A81">
              <w:rPr>
                <w:rFonts w:ascii="Arial" w:hAnsi="Arial" w:cs="Arial"/>
                <w:b/>
                <w:sz w:val="16"/>
                <w:szCs w:val="16"/>
              </w:rPr>
              <w:t>Population, especially women and those in remote areas</w:t>
            </w:r>
            <w:r w:rsidRPr="008E6A81">
              <w:rPr>
                <w:rFonts w:ascii="Arial" w:hAnsi="Arial" w:cs="Arial"/>
                <w:b/>
                <w:sz w:val="16"/>
                <w:szCs w:val="16"/>
              </w:rPr>
              <w:t xml:space="preserve"> </w:t>
            </w:r>
            <w:r w:rsidR="008E6A81" w:rsidRPr="008E6A81">
              <w:rPr>
                <w:rFonts w:ascii="Arial" w:hAnsi="Arial" w:cs="Arial"/>
                <w:b/>
                <w:sz w:val="16"/>
                <w:szCs w:val="16"/>
              </w:rPr>
              <w:t>are better aware about the civil registration</w:t>
            </w:r>
            <w:r w:rsidR="008E6A81">
              <w:rPr>
                <w:rFonts w:ascii="Arial" w:hAnsi="Arial" w:cs="Arial"/>
                <w:sz w:val="16"/>
                <w:szCs w:val="16"/>
              </w:rPr>
              <w:t xml:space="preserve"> services.</w:t>
            </w:r>
          </w:p>
          <w:p w:rsidR="005F417A" w:rsidRDefault="006A677F" w:rsidP="007C78C8">
            <w:pPr>
              <w:ind w:left="64"/>
              <w:jc w:val="both"/>
              <w:rPr>
                <w:rFonts w:ascii="Arial" w:hAnsi="Arial" w:cs="Arial"/>
                <w:sz w:val="16"/>
                <w:szCs w:val="16"/>
              </w:rPr>
            </w:pPr>
            <w:r>
              <w:rPr>
                <w:rFonts w:ascii="Arial" w:hAnsi="Arial" w:cs="Arial"/>
                <w:sz w:val="16"/>
                <w:szCs w:val="16"/>
              </w:rPr>
              <w:t xml:space="preserve">The project will work at both </w:t>
            </w:r>
            <w:r w:rsidRPr="002C0F02">
              <w:rPr>
                <w:rFonts w:ascii="Arial" w:hAnsi="Arial" w:cs="Arial"/>
                <w:b/>
                <w:i/>
                <w:sz w:val="16"/>
                <w:szCs w:val="16"/>
              </w:rPr>
              <w:t>supply</w:t>
            </w:r>
            <w:r>
              <w:rPr>
                <w:rFonts w:ascii="Arial" w:hAnsi="Arial" w:cs="Arial"/>
                <w:sz w:val="16"/>
                <w:szCs w:val="16"/>
              </w:rPr>
              <w:t xml:space="preserve"> (improving legislation and developing institutional capacity) and </w:t>
            </w:r>
            <w:r w:rsidRPr="002C0F02">
              <w:rPr>
                <w:rFonts w:ascii="Arial" w:hAnsi="Arial" w:cs="Arial"/>
                <w:b/>
                <w:i/>
                <w:sz w:val="16"/>
                <w:szCs w:val="16"/>
              </w:rPr>
              <w:t>demand</w:t>
            </w:r>
            <w:r>
              <w:rPr>
                <w:rFonts w:ascii="Arial" w:hAnsi="Arial" w:cs="Arial"/>
                <w:sz w:val="16"/>
                <w:szCs w:val="16"/>
              </w:rPr>
              <w:t xml:space="preserve"> </w:t>
            </w:r>
            <w:r>
              <w:rPr>
                <w:rFonts w:ascii="Arial" w:hAnsi="Arial" w:cs="Arial"/>
                <w:sz w:val="16"/>
                <w:szCs w:val="16"/>
              </w:rPr>
              <w:lastRenderedPageBreak/>
              <w:t>sides (</w:t>
            </w:r>
            <w:r w:rsidR="00793A0D">
              <w:rPr>
                <w:rFonts w:ascii="Arial" w:hAnsi="Arial" w:cs="Arial"/>
                <w:sz w:val="16"/>
                <w:szCs w:val="16"/>
              </w:rPr>
              <w:t>awareness of the population</w:t>
            </w:r>
            <w:r w:rsidR="00906D0D">
              <w:rPr>
                <w:rFonts w:ascii="Arial" w:hAnsi="Arial" w:cs="Arial"/>
                <w:sz w:val="16"/>
                <w:szCs w:val="16"/>
              </w:rPr>
              <w:t>)</w:t>
            </w:r>
            <w:r w:rsidR="00342002">
              <w:rPr>
                <w:rFonts w:ascii="Arial" w:hAnsi="Arial" w:cs="Arial"/>
                <w:sz w:val="16"/>
                <w:szCs w:val="16"/>
              </w:rPr>
              <w:t xml:space="preserve"> of service provision, thus providing support in both development and implementation of the civil registration related laws, policies and procedures</w:t>
            </w:r>
            <w:r w:rsidR="002C0F02">
              <w:rPr>
                <w:rFonts w:ascii="Arial" w:hAnsi="Arial" w:cs="Arial"/>
                <w:sz w:val="16"/>
                <w:szCs w:val="16"/>
              </w:rPr>
              <w:t xml:space="preserve"> for more responsive and quality service provision</w:t>
            </w:r>
            <w:r w:rsidR="00342002">
              <w:rPr>
                <w:rFonts w:ascii="Arial" w:hAnsi="Arial" w:cs="Arial"/>
                <w:sz w:val="16"/>
                <w:szCs w:val="16"/>
              </w:rPr>
              <w:t>.</w:t>
            </w:r>
          </w:p>
          <w:p w:rsidR="005F417A" w:rsidRDefault="005F417A" w:rsidP="007C78C8">
            <w:pPr>
              <w:ind w:left="64"/>
              <w:jc w:val="both"/>
              <w:rPr>
                <w:rFonts w:ascii="Arial" w:hAnsi="Arial" w:cs="Arial"/>
                <w:sz w:val="16"/>
                <w:szCs w:val="16"/>
              </w:rPr>
            </w:pPr>
          </w:p>
          <w:p w:rsidR="00410262" w:rsidRDefault="00991FEB" w:rsidP="007C78C8">
            <w:pPr>
              <w:ind w:left="64"/>
              <w:jc w:val="both"/>
              <w:rPr>
                <w:rFonts w:ascii="Arial" w:hAnsi="Arial" w:cs="Arial"/>
                <w:sz w:val="16"/>
                <w:szCs w:val="16"/>
              </w:rPr>
            </w:pPr>
            <w:r>
              <w:rPr>
                <w:rFonts w:ascii="Arial" w:hAnsi="Arial" w:cs="Arial"/>
                <w:sz w:val="16"/>
                <w:szCs w:val="16"/>
              </w:rPr>
              <w:t>For greater effectiveness and efficiency, t</w:t>
            </w:r>
            <w:r w:rsidR="00410262">
              <w:rPr>
                <w:rFonts w:ascii="Arial" w:hAnsi="Arial" w:cs="Arial"/>
                <w:sz w:val="16"/>
                <w:szCs w:val="16"/>
              </w:rPr>
              <w:t xml:space="preserve">he project </w:t>
            </w:r>
            <w:r w:rsidR="00A03727">
              <w:rPr>
                <w:rFonts w:ascii="Arial" w:hAnsi="Arial" w:cs="Arial"/>
                <w:sz w:val="16"/>
                <w:szCs w:val="16"/>
              </w:rPr>
              <w:t xml:space="preserve">design </w:t>
            </w:r>
            <w:r w:rsidR="00410262">
              <w:rPr>
                <w:rFonts w:ascii="Arial" w:hAnsi="Arial" w:cs="Arial"/>
                <w:sz w:val="16"/>
                <w:szCs w:val="16"/>
              </w:rPr>
              <w:t xml:space="preserve">will be guided by the outcomes of the baseline survey and validation workshops at the national and regional levels </w:t>
            </w:r>
            <w:r>
              <w:rPr>
                <w:rFonts w:ascii="Arial" w:hAnsi="Arial" w:cs="Arial"/>
                <w:sz w:val="16"/>
                <w:szCs w:val="16"/>
              </w:rPr>
              <w:t xml:space="preserve">as well as based on comprehensive review </w:t>
            </w:r>
            <w:r w:rsidR="00793A0D">
              <w:rPr>
                <w:rFonts w:ascii="Arial" w:hAnsi="Arial" w:cs="Arial"/>
                <w:sz w:val="16"/>
                <w:szCs w:val="16"/>
              </w:rPr>
              <w:t xml:space="preserve">of </w:t>
            </w:r>
            <w:r>
              <w:rPr>
                <w:rFonts w:ascii="Arial" w:hAnsi="Arial" w:cs="Arial"/>
                <w:sz w:val="16"/>
                <w:szCs w:val="16"/>
              </w:rPr>
              <w:t>existing studies, research, policy briefs</w:t>
            </w:r>
            <w:r w:rsidR="003C48F0">
              <w:rPr>
                <w:rFonts w:ascii="Arial" w:hAnsi="Arial" w:cs="Arial"/>
                <w:sz w:val="16"/>
                <w:szCs w:val="16"/>
              </w:rPr>
              <w:t>,</w:t>
            </w:r>
            <w:r>
              <w:rPr>
                <w:rFonts w:ascii="Arial" w:hAnsi="Arial" w:cs="Arial"/>
                <w:sz w:val="16"/>
                <w:szCs w:val="16"/>
              </w:rPr>
              <w:t xml:space="preserve"> and etc.</w:t>
            </w:r>
            <w:r w:rsidR="003C48F0">
              <w:rPr>
                <w:rFonts w:ascii="Arial" w:hAnsi="Arial" w:cs="Arial"/>
                <w:sz w:val="16"/>
                <w:szCs w:val="16"/>
              </w:rPr>
              <w:t xml:space="preserve"> The project will substantively build on the existing programmes and initiatives in Tajikistan as well as </w:t>
            </w:r>
            <w:r w:rsidR="005D17E2">
              <w:rPr>
                <w:rFonts w:ascii="Arial" w:hAnsi="Arial" w:cs="Arial"/>
                <w:sz w:val="16"/>
                <w:szCs w:val="16"/>
              </w:rPr>
              <w:t xml:space="preserve">expertise of UNDP accumulated </w:t>
            </w:r>
            <w:r w:rsidR="003C48F0">
              <w:rPr>
                <w:rFonts w:ascii="Arial" w:hAnsi="Arial" w:cs="Arial"/>
                <w:sz w:val="16"/>
                <w:szCs w:val="16"/>
              </w:rPr>
              <w:t>in the region</w:t>
            </w:r>
            <w:r w:rsidR="005D17E2">
              <w:rPr>
                <w:rFonts w:ascii="Arial" w:hAnsi="Arial" w:cs="Arial"/>
                <w:sz w:val="16"/>
                <w:szCs w:val="16"/>
              </w:rPr>
              <w:t>. W</w:t>
            </w:r>
            <w:r w:rsidR="002B2782">
              <w:rPr>
                <w:rFonts w:ascii="Arial" w:hAnsi="Arial" w:cs="Arial"/>
                <w:sz w:val="16"/>
                <w:szCs w:val="16"/>
              </w:rPr>
              <w:t xml:space="preserve">herever possible, </w:t>
            </w:r>
            <w:r w:rsidR="005D17E2">
              <w:rPr>
                <w:rFonts w:ascii="Arial" w:hAnsi="Arial" w:cs="Arial"/>
                <w:sz w:val="16"/>
                <w:szCs w:val="16"/>
              </w:rPr>
              <w:t xml:space="preserve">UNDP </w:t>
            </w:r>
            <w:r w:rsidR="002B2782">
              <w:rPr>
                <w:rFonts w:ascii="Arial" w:hAnsi="Arial" w:cs="Arial"/>
                <w:sz w:val="16"/>
                <w:szCs w:val="16"/>
              </w:rPr>
              <w:t>will ensure complementarities</w:t>
            </w:r>
            <w:r w:rsidR="005D17E2">
              <w:rPr>
                <w:rFonts w:ascii="Arial" w:hAnsi="Arial" w:cs="Arial"/>
                <w:sz w:val="16"/>
                <w:szCs w:val="16"/>
              </w:rPr>
              <w:t xml:space="preserve"> with ongoing programmes and initiatives</w:t>
            </w:r>
            <w:r w:rsidR="002B2782">
              <w:rPr>
                <w:rFonts w:ascii="Arial" w:hAnsi="Arial" w:cs="Arial"/>
                <w:sz w:val="16"/>
                <w:szCs w:val="16"/>
              </w:rPr>
              <w:t xml:space="preserve"> for greater impact.</w:t>
            </w:r>
          </w:p>
          <w:p w:rsidR="005F417A" w:rsidRPr="00627524" w:rsidRDefault="005F417A" w:rsidP="007C78C8">
            <w:pPr>
              <w:ind w:left="64"/>
              <w:jc w:val="both"/>
              <w:rPr>
                <w:rFonts w:ascii="Arial" w:hAnsi="Arial" w:cs="Arial"/>
                <w:sz w:val="16"/>
                <w:szCs w:val="16"/>
              </w:rPr>
            </w:pPr>
            <w:r w:rsidRPr="002E4EE3">
              <w:rPr>
                <w:rFonts w:ascii="Arial" w:hAnsi="Arial" w:cs="Arial"/>
                <w:sz w:val="16"/>
                <w:szCs w:val="16"/>
              </w:rPr>
              <w:tab/>
            </w:r>
          </w:p>
        </w:tc>
      </w:tr>
      <w:tr w:rsidR="005F417A" w:rsidRPr="00E7076C" w:rsidTr="0048209A">
        <w:trPr>
          <w:tblCellSpacing w:w="0" w:type="dxa"/>
        </w:trPr>
        <w:tc>
          <w:tcPr>
            <w:tcW w:w="1044" w:type="pct"/>
            <w:shd w:val="clear" w:color="auto" w:fill="auto"/>
          </w:tcPr>
          <w:p w:rsidR="005F417A" w:rsidRPr="00E7076C" w:rsidRDefault="005F417A" w:rsidP="0061210E">
            <w:pPr>
              <w:jc w:val="both"/>
              <w:rPr>
                <w:rFonts w:ascii="Arial" w:hAnsi="Arial" w:cs="Arial"/>
                <w:sz w:val="16"/>
                <w:szCs w:val="16"/>
              </w:rPr>
            </w:pPr>
            <w:r w:rsidRPr="00E7076C">
              <w:rPr>
                <w:rFonts w:ascii="Arial" w:hAnsi="Arial" w:cs="Arial"/>
                <w:b/>
                <w:bCs/>
                <w:sz w:val="16"/>
                <w:szCs w:val="16"/>
              </w:rPr>
              <w:lastRenderedPageBreak/>
              <w:t>Beneficiaries:</w:t>
            </w:r>
          </w:p>
        </w:tc>
        <w:tc>
          <w:tcPr>
            <w:tcW w:w="3956" w:type="pct"/>
            <w:shd w:val="clear" w:color="auto" w:fill="auto"/>
          </w:tcPr>
          <w:p w:rsidR="005F417A" w:rsidRPr="005D2FB1" w:rsidRDefault="00424ED3" w:rsidP="00424ED3">
            <w:pPr>
              <w:ind w:left="64"/>
              <w:jc w:val="both"/>
              <w:rPr>
                <w:rFonts w:ascii="Arial" w:hAnsi="Arial" w:cs="Arial"/>
                <w:sz w:val="16"/>
                <w:szCs w:val="16"/>
              </w:rPr>
            </w:pPr>
            <w:r>
              <w:rPr>
                <w:rFonts w:ascii="Arial" w:hAnsi="Arial" w:cs="Arial"/>
                <w:sz w:val="16"/>
                <w:szCs w:val="16"/>
              </w:rPr>
              <w:t xml:space="preserve">Entire population of Tajikistan will benefit from the reform and improved </w:t>
            </w:r>
            <w:r w:rsidR="00803295">
              <w:rPr>
                <w:rFonts w:ascii="Arial" w:hAnsi="Arial" w:cs="Arial"/>
                <w:sz w:val="16"/>
                <w:szCs w:val="16"/>
              </w:rPr>
              <w:t xml:space="preserve">civil registration </w:t>
            </w:r>
            <w:r>
              <w:rPr>
                <w:rFonts w:ascii="Arial" w:hAnsi="Arial" w:cs="Arial"/>
                <w:sz w:val="16"/>
                <w:szCs w:val="16"/>
              </w:rPr>
              <w:t>services; v</w:t>
            </w:r>
            <w:r w:rsidR="008E0ACA">
              <w:rPr>
                <w:rFonts w:ascii="Arial" w:hAnsi="Arial" w:cs="Arial"/>
                <w:sz w:val="16"/>
                <w:szCs w:val="16"/>
              </w:rPr>
              <w:t xml:space="preserve">ulnerable population segments </w:t>
            </w:r>
            <w:r w:rsidR="001C0A56">
              <w:rPr>
                <w:rFonts w:ascii="Arial" w:hAnsi="Arial" w:cs="Arial"/>
                <w:sz w:val="16"/>
                <w:szCs w:val="16"/>
              </w:rPr>
              <w:t xml:space="preserve">of Tajikistan living in remote and hard to access areas of Tajikistan, especially </w:t>
            </w:r>
            <w:r w:rsidR="008E0ACA">
              <w:rPr>
                <w:rFonts w:ascii="Arial" w:hAnsi="Arial" w:cs="Arial"/>
                <w:sz w:val="16"/>
                <w:szCs w:val="16"/>
              </w:rPr>
              <w:t>women</w:t>
            </w:r>
            <w:r w:rsidR="005D17E2">
              <w:rPr>
                <w:rFonts w:ascii="Arial" w:hAnsi="Arial" w:cs="Arial"/>
                <w:sz w:val="16"/>
                <w:szCs w:val="16"/>
              </w:rPr>
              <w:t>,</w:t>
            </w:r>
            <w:r w:rsidR="008E0ACA">
              <w:rPr>
                <w:rFonts w:ascii="Arial" w:hAnsi="Arial" w:cs="Arial"/>
                <w:sz w:val="16"/>
                <w:szCs w:val="16"/>
              </w:rPr>
              <w:t xml:space="preserve"> </w:t>
            </w:r>
            <w:r w:rsidR="005D17E2">
              <w:rPr>
                <w:rFonts w:ascii="Arial" w:hAnsi="Arial" w:cs="Arial"/>
                <w:sz w:val="16"/>
                <w:szCs w:val="16"/>
              </w:rPr>
              <w:t xml:space="preserve">children and </w:t>
            </w:r>
            <w:r w:rsidR="008E0ACA">
              <w:rPr>
                <w:rFonts w:ascii="Arial" w:hAnsi="Arial" w:cs="Arial"/>
                <w:sz w:val="16"/>
                <w:szCs w:val="16"/>
              </w:rPr>
              <w:t>persons with disabilities</w:t>
            </w:r>
            <w:r>
              <w:rPr>
                <w:rFonts w:ascii="Arial" w:hAnsi="Arial" w:cs="Arial"/>
                <w:sz w:val="16"/>
                <w:szCs w:val="16"/>
              </w:rPr>
              <w:t xml:space="preserve"> will specifically benefit from project results.</w:t>
            </w:r>
          </w:p>
        </w:tc>
      </w:tr>
      <w:tr w:rsidR="005F417A" w:rsidRPr="00E7076C" w:rsidTr="0048209A">
        <w:trPr>
          <w:trHeight w:val="230"/>
          <w:tblCellSpacing w:w="0" w:type="dxa"/>
        </w:trPr>
        <w:tc>
          <w:tcPr>
            <w:tcW w:w="1044" w:type="pct"/>
            <w:shd w:val="clear" w:color="auto" w:fill="auto"/>
          </w:tcPr>
          <w:p w:rsidR="005F417A" w:rsidRPr="00E7076C" w:rsidRDefault="005F417A" w:rsidP="0061210E">
            <w:pPr>
              <w:jc w:val="both"/>
              <w:rPr>
                <w:rFonts w:ascii="Arial" w:hAnsi="Arial" w:cs="Arial"/>
                <w:sz w:val="16"/>
                <w:szCs w:val="16"/>
              </w:rPr>
            </w:pPr>
            <w:r w:rsidRPr="00E7076C">
              <w:rPr>
                <w:rFonts w:ascii="Arial" w:hAnsi="Arial" w:cs="Arial"/>
                <w:b/>
                <w:bCs/>
                <w:sz w:val="16"/>
                <w:szCs w:val="16"/>
              </w:rPr>
              <w:t>Partnerships:</w:t>
            </w:r>
          </w:p>
        </w:tc>
        <w:tc>
          <w:tcPr>
            <w:tcW w:w="3956" w:type="pct"/>
            <w:shd w:val="clear" w:color="auto" w:fill="auto"/>
          </w:tcPr>
          <w:p w:rsidR="002E101B" w:rsidRPr="005D2FB1" w:rsidRDefault="005F417A" w:rsidP="00424ED3">
            <w:pPr>
              <w:ind w:left="64"/>
              <w:jc w:val="both"/>
              <w:rPr>
                <w:rFonts w:ascii="Arial" w:hAnsi="Arial" w:cs="Arial"/>
                <w:sz w:val="16"/>
                <w:szCs w:val="16"/>
              </w:rPr>
            </w:pPr>
            <w:r w:rsidRPr="00A55C97">
              <w:rPr>
                <w:rFonts w:ascii="Arial" w:hAnsi="Arial" w:cs="Arial"/>
                <w:sz w:val="16"/>
                <w:szCs w:val="16"/>
              </w:rPr>
              <w:t>UNDP Tajikistan</w:t>
            </w:r>
            <w:r w:rsidR="008343E8">
              <w:rPr>
                <w:rFonts w:ascii="Arial" w:hAnsi="Arial" w:cs="Arial"/>
                <w:sz w:val="16"/>
                <w:szCs w:val="16"/>
              </w:rPr>
              <w:t xml:space="preserve"> </w:t>
            </w:r>
            <w:r w:rsidR="00C147E0">
              <w:rPr>
                <w:rFonts w:ascii="Arial" w:hAnsi="Arial" w:cs="Arial"/>
                <w:sz w:val="16"/>
                <w:szCs w:val="16"/>
              </w:rPr>
              <w:t>will implement the project in close partnerships with the Ministry of Justice</w:t>
            </w:r>
            <w:r w:rsidR="00424ED3">
              <w:rPr>
                <w:rFonts w:ascii="Arial" w:hAnsi="Arial" w:cs="Arial"/>
                <w:sz w:val="16"/>
                <w:szCs w:val="16"/>
              </w:rPr>
              <w:t>, its subsidiary institutions, including ZAGS and Notaries,</w:t>
            </w:r>
            <w:r w:rsidRPr="00897E8A">
              <w:rPr>
                <w:rFonts w:ascii="Arial" w:hAnsi="Arial" w:cs="Arial"/>
                <w:sz w:val="16"/>
                <w:szCs w:val="16"/>
              </w:rPr>
              <w:t xml:space="preserve"> and </w:t>
            </w:r>
            <w:r w:rsidR="008E0ACA">
              <w:rPr>
                <w:rFonts w:ascii="Arial" w:hAnsi="Arial" w:cs="Arial"/>
                <w:sz w:val="16"/>
                <w:szCs w:val="16"/>
              </w:rPr>
              <w:t>other state and non-state institutions as well as international development community active in the civil registration area</w:t>
            </w:r>
            <w:r w:rsidR="003A2DD0" w:rsidRPr="00424ED3">
              <w:rPr>
                <w:rFonts w:ascii="Arial" w:hAnsi="Arial" w:cs="Arial"/>
                <w:sz w:val="16"/>
                <w:szCs w:val="16"/>
              </w:rPr>
              <w:t>. While imp</w:t>
            </w:r>
            <w:r w:rsidR="00691FFC" w:rsidRPr="00424ED3">
              <w:rPr>
                <w:rFonts w:ascii="Arial" w:hAnsi="Arial" w:cs="Arial"/>
                <w:sz w:val="16"/>
                <w:szCs w:val="16"/>
              </w:rPr>
              <w:t>lementing the programme, relevant knowledge and expertise of other development partners active in Tajikistan will be utilized.</w:t>
            </w:r>
          </w:p>
        </w:tc>
      </w:tr>
      <w:tr w:rsidR="002E101B" w:rsidRPr="00E7076C" w:rsidTr="0048209A">
        <w:trPr>
          <w:trHeight w:val="230"/>
          <w:tblCellSpacing w:w="0" w:type="dxa"/>
        </w:trPr>
        <w:tc>
          <w:tcPr>
            <w:tcW w:w="1044" w:type="pct"/>
            <w:shd w:val="clear" w:color="auto" w:fill="auto"/>
          </w:tcPr>
          <w:p w:rsidR="002E101B" w:rsidRPr="00E7076C" w:rsidRDefault="002E101B" w:rsidP="0061210E">
            <w:pPr>
              <w:jc w:val="both"/>
              <w:rPr>
                <w:rFonts w:ascii="Arial" w:hAnsi="Arial" w:cs="Arial"/>
                <w:b/>
                <w:bCs/>
                <w:sz w:val="16"/>
                <w:szCs w:val="16"/>
              </w:rPr>
            </w:pPr>
            <w:r>
              <w:rPr>
                <w:rFonts w:ascii="Arial" w:hAnsi="Arial" w:cs="Arial"/>
                <w:b/>
                <w:bCs/>
                <w:sz w:val="16"/>
                <w:szCs w:val="16"/>
              </w:rPr>
              <w:t>Why UNDP</w:t>
            </w:r>
            <w:r w:rsidR="00D9354C">
              <w:rPr>
                <w:rFonts w:ascii="Arial" w:hAnsi="Arial" w:cs="Arial"/>
                <w:b/>
                <w:bCs/>
                <w:sz w:val="16"/>
                <w:szCs w:val="16"/>
              </w:rPr>
              <w:t>:</w:t>
            </w:r>
          </w:p>
        </w:tc>
        <w:tc>
          <w:tcPr>
            <w:tcW w:w="3956" w:type="pct"/>
            <w:shd w:val="clear" w:color="auto" w:fill="auto"/>
          </w:tcPr>
          <w:p w:rsidR="00F0621B" w:rsidRDefault="00424ED3" w:rsidP="00785D38">
            <w:pPr>
              <w:spacing w:before="120" w:after="120"/>
              <w:ind w:left="62"/>
              <w:jc w:val="both"/>
              <w:rPr>
                <w:rFonts w:ascii="Arial" w:hAnsi="Arial" w:cs="Arial"/>
                <w:sz w:val="16"/>
                <w:szCs w:val="16"/>
              </w:rPr>
            </w:pPr>
            <w:r>
              <w:rPr>
                <w:rFonts w:ascii="Arial" w:hAnsi="Arial" w:cs="Arial"/>
                <w:sz w:val="16"/>
                <w:szCs w:val="16"/>
              </w:rPr>
              <w:t xml:space="preserve">UNDP is a recognized </w:t>
            </w:r>
            <w:r w:rsidR="00F0621B">
              <w:rPr>
                <w:rFonts w:ascii="Arial" w:hAnsi="Arial" w:cs="Arial"/>
                <w:sz w:val="16"/>
                <w:szCs w:val="16"/>
              </w:rPr>
              <w:t>partner of choice of the Government of Tajikistan in supporting reforms, advancing transformative policies and capacitating institutions</w:t>
            </w:r>
            <w:r w:rsidR="007E7144">
              <w:rPr>
                <w:rFonts w:ascii="Arial" w:hAnsi="Arial" w:cs="Arial"/>
                <w:sz w:val="16"/>
                <w:szCs w:val="16"/>
              </w:rPr>
              <w:t xml:space="preserve"> to address </w:t>
            </w:r>
            <w:r w:rsidR="004B0D99">
              <w:rPr>
                <w:rFonts w:ascii="Arial" w:hAnsi="Arial" w:cs="Arial"/>
                <w:sz w:val="16"/>
                <w:szCs w:val="16"/>
              </w:rPr>
              <w:t>rule of law and access to justice</w:t>
            </w:r>
            <w:r w:rsidR="00032D81">
              <w:rPr>
                <w:rFonts w:ascii="Arial" w:hAnsi="Arial" w:cs="Arial"/>
                <w:sz w:val="16"/>
                <w:szCs w:val="16"/>
              </w:rPr>
              <w:t xml:space="preserve"> issues</w:t>
            </w:r>
            <w:r w:rsidR="004B0D99">
              <w:rPr>
                <w:rFonts w:ascii="Arial" w:hAnsi="Arial" w:cs="Arial"/>
                <w:sz w:val="16"/>
                <w:szCs w:val="16"/>
              </w:rPr>
              <w:t xml:space="preserve">, </w:t>
            </w:r>
            <w:r w:rsidR="007E7144">
              <w:rPr>
                <w:rFonts w:ascii="Arial" w:hAnsi="Arial" w:cs="Arial"/>
                <w:sz w:val="16"/>
                <w:szCs w:val="16"/>
              </w:rPr>
              <w:t xml:space="preserve">socio-economic </w:t>
            </w:r>
            <w:r w:rsidR="00032D81">
              <w:rPr>
                <w:rFonts w:ascii="Arial" w:hAnsi="Arial" w:cs="Arial"/>
                <w:sz w:val="16"/>
                <w:szCs w:val="16"/>
              </w:rPr>
              <w:t xml:space="preserve">development </w:t>
            </w:r>
            <w:r w:rsidR="004B0D99">
              <w:rPr>
                <w:rFonts w:ascii="Arial" w:hAnsi="Arial" w:cs="Arial"/>
                <w:sz w:val="16"/>
                <w:szCs w:val="16"/>
              </w:rPr>
              <w:t>challenge</w:t>
            </w:r>
            <w:r w:rsidR="00032D81">
              <w:rPr>
                <w:rFonts w:ascii="Arial" w:hAnsi="Arial" w:cs="Arial"/>
                <w:sz w:val="16"/>
                <w:szCs w:val="16"/>
              </w:rPr>
              <w:t>s</w:t>
            </w:r>
            <w:r w:rsidR="007E7144">
              <w:rPr>
                <w:rFonts w:ascii="Arial" w:hAnsi="Arial" w:cs="Arial"/>
                <w:sz w:val="16"/>
                <w:szCs w:val="16"/>
              </w:rPr>
              <w:t xml:space="preserve"> of the country and provide better services to the population. </w:t>
            </w:r>
            <w:r w:rsidR="00032D81">
              <w:rPr>
                <w:rFonts w:ascii="Arial" w:hAnsi="Arial" w:cs="Arial"/>
                <w:sz w:val="16"/>
                <w:szCs w:val="16"/>
              </w:rPr>
              <w:t>At the regional level UNDP has demonstrated experience and expertise in supporting implementation of civil registration related reforms and initiatives in Azerbaijan, Armenia, Georgia and other countries.</w:t>
            </w:r>
          </w:p>
          <w:p w:rsidR="009032B1" w:rsidRDefault="00032D81" w:rsidP="00785D38">
            <w:pPr>
              <w:spacing w:before="120" w:after="120"/>
              <w:ind w:left="62"/>
              <w:jc w:val="both"/>
              <w:rPr>
                <w:rFonts w:ascii="Arial" w:hAnsi="Arial" w:cs="Arial"/>
                <w:sz w:val="16"/>
                <w:szCs w:val="16"/>
              </w:rPr>
            </w:pPr>
            <w:r>
              <w:rPr>
                <w:rFonts w:ascii="Arial" w:hAnsi="Arial" w:cs="Arial"/>
                <w:sz w:val="16"/>
                <w:szCs w:val="16"/>
              </w:rPr>
              <w:t>In Tajikistan, a</w:t>
            </w:r>
            <w:r w:rsidR="00F70507">
              <w:rPr>
                <w:rFonts w:ascii="Arial" w:hAnsi="Arial" w:cs="Arial"/>
                <w:sz w:val="16"/>
                <w:szCs w:val="16"/>
              </w:rPr>
              <w:t xml:space="preserve">t the </w:t>
            </w:r>
            <w:r w:rsidR="00F70507">
              <w:rPr>
                <w:rFonts w:ascii="Arial" w:hAnsi="Arial" w:cs="Arial"/>
                <w:i/>
                <w:sz w:val="16"/>
                <w:szCs w:val="16"/>
              </w:rPr>
              <w:t xml:space="preserve">national level, </w:t>
            </w:r>
            <w:r w:rsidR="002E101B">
              <w:rPr>
                <w:rFonts w:ascii="Arial" w:hAnsi="Arial" w:cs="Arial"/>
                <w:sz w:val="16"/>
                <w:szCs w:val="16"/>
              </w:rPr>
              <w:t>UNDP is</w:t>
            </w:r>
            <w:r w:rsidR="00B21840">
              <w:rPr>
                <w:rFonts w:ascii="Arial" w:hAnsi="Arial" w:cs="Arial"/>
                <w:sz w:val="16"/>
                <w:szCs w:val="16"/>
              </w:rPr>
              <w:t xml:space="preserve"> currently implementing a comprehensive Rule of Law and Access to Justice Programme funded by SDC, and MFA Finland</w:t>
            </w:r>
            <w:r w:rsidR="00C73B51">
              <w:rPr>
                <w:rFonts w:ascii="Arial" w:hAnsi="Arial" w:cs="Arial"/>
                <w:sz w:val="16"/>
                <w:szCs w:val="16"/>
              </w:rPr>
              <w:t xml:space="preserve"> which enabled UNDP to maintain very close partnerships with government counterparts especially with the Ministry of Justice and its subsidiary institutions, including ZAGS and Notaries, as well as with the Office of Ombudsman. While acting as a lead agency for SDC funded </w:t>
            </w:r>
            <w:r w:rsidR="00C73B51" w:rsidRPr="00A03727">
              <w:rPr>
                <w:rFonts w:ascii="Arial" w:hAnsi="Arial" w:cs="Arial"/>
                <w:i/>
                <w:sz w:val="16"/>
                <w:szCs w:val="16"/>
              </w:rPr>
              <w:t>‘Access to Justice in Tajikistan’</w:t>
            </w:r>
            <w:r w:rsidR="00C73B51">
              <w:rPr>
                <w:rFonts w:ascii="Arial" w:hAnsi="Arial" w:cs="Arial"/>
                <w:sz w:val="16"/>
                <w:szCs w:val="16"/>
              </w:rPr>
              <w:t xml:space="preserve"> project, UNDP </w:t>
            </w:r>
            <w:r w:rsidR="00297A79">
              <w:rPr>
                <w:rFonts w:ascii="Arial" w:hAnsi="Arial" w:cs="Arial"/>
                <w:sz w:val="16"/>
                <w:szCs w:val="16"/>
              </w:rPr>
              <w:t xml:space="preserve">was able to establish consortium partnership with INGO Helvetas Swiss Intercooperation based on comparative advantage of each agency. Using the same principle, UNDP was also able to </w:t>
            </w:r>
            <w:r w:rsidR="007B73B2">
              <w:rPr>
                <w:rFonts w:ascii="Arial" w:hAnsi="Arial" w:cs="Arial"/>
                <w:sz w:val="16"/>
                <w:szCs w:val="16"/>
              </w:rPr>
              <w:t>utilize the expertise of other UN agencies, including OHCHR and UN Women</w:t>
            </w:r>
            <w:r w:rsidR="00A03727">
              <w:rPr>
                <w:rFonts w:ascii="Arial" w:hAnsi="Arial" w:cs="Arial"/>
                <w:sz w:val="16"/>
                <w:szCs w:val="16"/>
              </w:rPr>
              <w:t xml:space="preserve"> under </w:t>
            </w:r>
            <w:r w:rsidR="00A03727" w:rsidRPr="00A03727">
              <w:rPr>
                <w:rFonts w:ascii="Arial" w:hAnsi="Arial" w:cs="Arial"/>
                <w:i/>
                <w:sz w:val="16"/>
                <w:szCs w:val="16"/>
              </w:rPr>
              <w:t>‘Strengthening Rule of Law and Human Rights to Empower People in Tajikistan’</w:t>
            </w:r>
            <w:r w:rsidR="00A03727">
              <w:rPr>
                <w:rFonts w:ascii="Arial" w:hAnsi="Arial" w:cs="Arial"/>
                <w:sz w:val="16"/>
                <w:szCs w:val="16"/>
              </w:rPr>
              <w:t xml:space="preserve"> project funded by MFA Finland</w:t>
            </w:r>
            <w:r w:rsidR="007B73B2">
              <w:rPr>
                <w:rFonts w:ascii="Arial" w:hAnsi="Arial" w:cs="Arial"/>
                <w:sz w:val="16"/>
                <w:szCs w:val="16"/>
              </w:rPr>
              <w:t xml:space="preserve">. </w:t>
            </w:r>
          </w:p>
          <w:p w:rsidR="002E101B" w:rsidRDefault="00DB48A5" w:rsidP="00785D38">
            <w:pPr>
              <w:spacing w:before="120" w:after="120"/>
              <w:ind w:left="62"/>
              <w:jc w:val="both"/>
              <w:rPr>
                <w:rFonts w:ascii="Arial" w:hAnsi="Arial" w:cs="Arial"/>
                <w:sz w:val="16"/>
                <w:szCs w:val="16"/>
              </w:rPr>
            </w:pPr>
            <w:r>
              <w:rPr>
                <w:rFonts w:ascii="Arial" w:hAnsi="Arial" w:cs="Arial"/>
                <w:sz w:val="16"/>
                <w:szCs w:val="16"/>
              </w:rPr>
              <w:t xml:space="preserve">At the </w:t>
            </w:r>
            <w:r w:rsidRPr="00DB48A5">
              <w:rPr>
                <w:rFonts w:ascii="Arial" w:hAnsi="Arial" w:cs="Arial"/>
                <w:i/>
                <w:sz w:val="16"/>
                <w:szCs w:val="16"/>
              </w:rPr>
              <w:t>policy level</w:t>
            </w:r>
            <w:r>
              <w:rPr>
                <w:rFonts w:ascii="Arial" w:hAnsi="Arial" w:cs="Arial"/>
                <w:sz w:val="16"/>
                <w:szCs w:val="16"/>
              </w:rPr>
              <w:t xml:space="preserve">, </w:t>
            </w:r>
            <w:r w:rsidR="004068DA">
              <w:rPr>
                <w:rFonts w:ascii="Arial" w:hAnsi="Arial" w:cs="Arial"/>
                <w:sz w:val="16"/>
                <w:szCs w:val="16"/>
              </w:rPr>
              <w:t>UNDPs leadership at the Rule of Law and Access to Justice Working Group of the Development Coordination Council and facilitation of state and CSO policy dialo</w:t>
            </w:r>
            <w:r w:rsidR="00744B76">
              <w:rPr>
                <w:rFonts w:ascii="Arial" w:hAnsi="Arial" w:cs="Arial"/>
                <w:sz w:val="16"/>
                <w:szCs w:val="16"/>
              </w:rPr>
              <w:t>gue on rule of law and access coupled with UNDPs support in formulation of country’s long-term (new National Development Strategy for 2016 – 2030) and short term (new phase after completion of the Living Standards Improvement Strategy in 2015)</w:t>
            </w:r>
            <w:r w:rsidR="009032B1">
              <w:rPr>
                <w:rFonts w:ascii="Arial" w:hAnsi="Arial" w:cs="Arial"/>
                <w:sz w:val="16"/>
                <w:szCs w:val="16"/>
              </w:rPr>
              <w:t xml:space="preserve"> strategies provides sound entry points for UNDP to effectively promote</w:t>
            </w:r>
            <w:r w:rsidR="008D65A1">
              <w:rPr>
                <w:rFonts w:ascii="Arial" w:hAnsi="Arial" w:cs="Arial"/>
                <w:sz w:val="16"/>
                <w:szCs w:val="16"/>
              </w:rPr>
              <w:t>,</w:t>
            </w:r>
            <w:r w:rsidR="009032B1">
              <w:rPr>
                <w:rFonts w:ascii="Arial" w:hAnsi="Arial" w:cs="Arial"/>
                <w:sz w:val="16"/>
                <w:szCs w:val="16"/>
              </w:rPr>
              <w:t xml:space="preserve"> advocate for </w:t>
            </w:r>
            <w:r w:rsidR="008D65A1">
              <w:rPr>
                <w:rFonts w:ascii="Arial" w:hAnsi="Arial" w:cs="Arial"/>
                <w:sz w:val="16"/>
                <w:szCs w:val="16"/>
              </w:rPr>
              <w:t xml:space="preserve">and implement </w:t>
            </w:r>
            <w:r w:rsidR="009032B1">
              <w:rPr>
                <w:rFonts w:ascii="Arial" w:hAnsi="Arial" w:cs="Arial"/>
                <w:sz w:val="16"/>
                <w:szCs w:val="16"/>
              </w:rPr>
              <w:t>civil registration related reforms.</w:t>
            </w:r>
          </w:p>
          <w:p w:rsidR="00400C2C" w:rsidRDefault="00DB48A5" w:rsidP="00D9354C">
            <w:pPr>
              <w:spacing w:before="120" w:after="120"/>
              <w:ind w:left="62"/>
              <w:jc w:val="both"/>
              <w:rPr>
                <w:rFonts w:ascii="Arial" w:hAnsi="Arial" w:cs="Arial"/>
                <w:sz w:val="16"/>
                <w:szCs w:val="16"/>
              </w:rPr>
            </w:pPr>
            <w:r>
              <w:rPr>
                <w:rFonts w:ascii="Arial" w:hAnsi="Arial" w:cs="Arial"/>
                <w:sz w:val="16"/>
                <w:szCs w:val="16"/>
              </w:rPr>
              <w:t xml:space="preserve">At the </w:t>
            </w:r>
            <w:r>
              <w:rPr>
                <w:rFonts w:ascii="Arial" w:hAnsi="Arial" w:cs="Arial"/>
                <w:i/>
                <w:sz w:val="16"/>
                <w:szCs w:val="16"/>
              </w:rPr>
              <w:t xml:space="preserve">institutional level, </w:t>
            </w:r>
            <w:r w:rsidR="00400C2C">
              <w:rPr>
                <w:rFonts w:ascii="Arial" w:hAnsi="Arial" w:cs="Arial"/>
                <w:sz w:val="16"/>
                <w:szCs w:val="16"/>
              </w:rPr>
              <w:t xml:space="preserve">UNDP </w:t>
            </w:r>
            <w:r w:rsidR="008D65A1">
              <w:rPr>
                <w:rFonts w:ascii="Arial" w:hAnsi="Arial" w:cs="Arial"/>
                <w:sz w:val="16"/>
                <w:szCs w:val="16"/>
              </w:rPr>
              <w:t>is working closely with the Executive Office of the President of the Republic of Tajikistan to</w:t>
            </w:r>
            <w:r w:rsidR="00BA1B5A">
              <w:rPr>
                <w:rFonts w:ascii="Arial" w:hAnsi="Arial" w:cs="Arial"/>
                <w:sz w:val="16"/>
                <w:szCs w:val="16"/>
              </w:rPr>
              <w:t>wards</w:t>
            </w:r>
            <w:r w:rsidR="008D65A1">
              <w:rPr>
                <w:rFonts w:ascii="Arial" w:hAnsi="Arial" w:cs="Arial"/>
                <w:sz w:val="16"/>
                <w:szCs w:val="16"/>
              </w:rPr>
              <w:t xml:space="preserve"> </w:t>
            </w:r>
            <w:r w:rsidR="00BA1B5A">
              <w:rPr>
                <w:rFonts w:ascii="Arial" w:hAnsi="Arial" w:cs="Arial"/>
                <w:sz w:val="16"/>
                <w:szCs w:val="16"/>
              </w:rPr>
              <w:t xml:space="preserve">effective </w:t>
            </w:r>
            <w:r w:rsidR="00400C2C">
              <w:rPr>
                <w:rFonts w:ascii="Arial" w:hAnsi="Arial" w:cs="Arial"/>
                <w:sz w:val="16"/>
                <w:szCs w:val="16"/>
              </w:rPr>
              <w:t xml:space="preserve">public administration and local governance efforts of the Government of Tajikistan. While doing so, UNDP </w:t>
            </w:r>
            <w:r w:rsidR="00D9354C">
              <w:rPr>
                <w:rFonts w:ascii="Arial" w:hAnsi="Arial" w:cs="Arial"/>
                <w:sz w:val="16"/>
                <w:szCs w:val="16"/>
              </w:rPr>
              <w:t>will be</w:t>
            </w:r>
            <w:r w:rsidR="00400C2C">
              <w:rPr>
                <w:rFonts w:ascii="Arial" w:hAnsi="Arial" w:cs="Arial"/>
                <w:sz w:val="16"/>
                <w:szCs w:val="16"/>
              </w:rPr>
              <w:t xml:space="preserve"> able to complement its </w:t>
            </w:r>
            <w:r w:rsidR="00785D38">
              <w:rPr>
                <w:rFonts w:ascii="Arial" w:hAnsi="Arial" w:cs="Arial"/>
                <w:sz w:val="16"/>
                <w:szCs w:val="16"/>
              </w:rPr>
              <w:t xml:space="preserve">public administration and civil registration </w:t>
            </w:r>
            <w:r w:rsidR="00BA1B5A">
              <w:rPr>
                <w:rFonts w:ascii="Arial" w:hAnsi="Arial" w:cs="Arial"/>
                <w:sz w:val="16"/>
                <w:szCs w:val="16"/>
              </w:rPr>
              <w:t>initiatives</w:t>
            </w:r>
            <w:r w:rsidR="00400C2C">
              <w:rPr>
                <w:rFonts w:ascii="Arial" w:hAnsi="Arial" w:cs="Arial"/>
                <w:sz w:val="16"/>
                <w:szCs w:val="16"/>
              </w:rPr>
              <w:t xml:space="preserve">. For instance, under Public Administration Reform and Institutional Strengthening Project, UNDP has supported drafting of the registry of </w:t>
            </w:r>
            <w:r w:rsidR="003C1B1D">
              <w:rPr>
                <w:rFonts w:ascii="Arial" w:hAnsi="Arial" w:cs="Arial"/>
                <w:sz w:val="16"/>
                <w:szCs w:val="16"/>
              </w:rPr>
              <w:t>state functions which also includes civil registration functions</w:t>
            </w:r>
            <w:r>
              <w:rPr>
                <w:rFonts w:ascii="Arial" w:hAnsi="Arial" w:cs="Arial"/>
                <w:sz w:val="16"/>
                <w:szCs w:val="16"/>
              </w:rPr>
              <w:t xml:space="preserve"> and has also supported drafting of the </w:t>
            </w:r>
            <w:r w:rsidR="00AF5C85">
              <w:rPr>
                <w:rFonts w:ascii="Arial" w:hAnsi="Arial" w:cs="Arial"/>
                <w:sz w:val="16"/>
                <w:szCs w:val="16"/>
              </w:rPr>
              <w:t>Concept of Local Development which includes elements of local governance</w:t>
            </w:r>
            <w:r w:rsidR="003C1B1D">
              <w:rPr>
                <w:rFonts w:ascii="Arial" w:hAnsi="Arial" w:cs="Arial"/>
                <w:sz w:val="16"/>
                <w:szCs w:val="16"/>
              </w:rPr>
              <w:t>.</w:t>
            </w:r>
            <w:r w:rsidR="00AF5C85">
              <w:rPr>
                <w:rFonts w:ascii="Arial" w:hAnsi="Arial" w:cs="Arial"/>
                <w:sz w:val="16"/>
                <w:szCs w:val="16"/>
              </w:rPr>
              <w:t xml:space="preserve"> This is well linked to civil registration given that Jamoats</w:t>
            </w:r>
            <w:r w:rsidR="000664C9">
              <w:rPr>
                <w:rFonts w:ascii="Arial" w:hAnsi="Arial" w:cs="Arial"/>
                <w:sz w:val="16"/>
                <w:szCs w:val="16"/>
              </w:rPr>
              <w:t xml:space="preserve"> </w:t>
            </w:r>
            <w:r w:rsidR="00A938E2">
              <w:rPr>
                <w:rFonts w:ascii="Arial" w:hAnsi="Arial" w:cs="Arial"/>
                <w:sz w:val="16"/>
                <w:szCs w:val="16"/>
              </w:rPr>
              <w:t xml:space="preserve">as self-governing bodies </w:t>
            </w:r>
            <w:r w:rsidR="000664C9">
              <w:rPr>
                <w:rFonts w:ascii="Arial" w:hAnsi="Arial" w:cs="Arial"/>
                <w:sz w:val="16"/>
                <w:szCs w:val="16"/>
              </w:rPr>
              <w:t>also bear civil registration functions.</w:t>
            </w:r>
          </w:p>
          <w:p w:rsidR="00D9354C" w:rsidRDefault="009F7A4F" w:rsidP="00D9354C">
            <w:pPr>
              <w:spacing w:before="120" w:after="120"/>
              <w:ind w:left="62"/>
              <w:jc w:val="both"/>
              <w:rPr>
                <w:rFonts w:ascii="Arial" w:hAnsi="Arial" w:cs="Arial"/>
                <w:sz w:val="16"/>
                <w:szCs w:val="16"/>
              </w:rPr>
            </w:pPr>
            <w:r>
              <w:rPr>
                <w:rFonts w:ascii="Arial" w:hAnsi="Arial" w:cs="Arial"/>
                <w:sz w:val="16"/>
                <w:szCs w:val="16"/>
              </w:rPr>
              <w:t xml:space="preserve">At the </w:t>
            </w:r>
            <w:r w:rsidRPr="000664C9">
              <w:rPr>
                <w:rFonts w:ascii="Arial" w:hAnsi="Arial" w:cs="Arial"/>
                <w:i/>
                <w:sz w:val="16"/>
                <w:szCs w:val="16"/>
              </w:rPr>
              <w:t>regional level</w:t>
            </w:r>
            <w:r>
              <w:rPr>
                <w:rFonts w:ascii="Arial" w:hAnsi="Arial" w:cs="Arial"/>
                <w:sz w:val="16"/>
                <w:szCs w:val="16"/>
              </w:rPr>
              <w:t xml:space="preserve">, UNDP </w:t>
            </w:r>
            <w:r w:rsidR="00D9354C">
              <w:rPr>
                <w:rFonts w:ascii="Arial" w:hAnsi="Arial" w:cs="Arial"/>
                <w:sz w:val="16"/>
                <w:szCs w:val="16"/>
              </w:rPr>
              <w:t>implemented</w:t>
            </w:r>
            <w:r>
              <w:rPr>
                <w:rFonts w:ascii="Arial" w:hAnsi="Arial" w:cs="Arial"/>
                <w:sz w:val="16"/>
                <w:szCs w:val="16"/>
              </w:rPr>
              <w:t xml:space="preserve"> </w:t>
            </w:r>
            <w:r w:rsidR="00D9354C">
              <w:rPr>
                <w:rFonts w:ascii="Arial" w:hAnsi="Arial" w:cs="Arial"/>
                <w:sz w:val="16"/>
                <w:szCs w:val="16"/>
              </w:rPr>
              <w:t>a number of large scale projects in support of civil registration reforms:</w:t>
            </w:r>
          </w:p>
          <w:p w:rsidR="00D9354C" w:rsidRPr="00D9354C" w:rsidRDefault="006E50DD" w:rsidP="00D9354C">
            <w:pPr>
              <w:ind w:left="58"/>
              <w:jc w:val="both"/>
              <w:rPr>
                <w:rFonts w:ascii="Arial" w:eastAsia="Times New Roman" w:hAnsi="Arial" w:cs="Arial"/>
                <w:sz w:val="16"/>
                <w:szCs w:val="16"/>
              </w:rPr>
            </w:pPr>
            <w:r w:rsidRPr="006E50DD">
              <w:rPr>
                <w:rFonts w:ascii="Arial" w:hAnsi="Arial" w:cs="Arial"/>
                <w:sz w:val="16"/>
                <w:szCs w:val="16"/>
              </w:rPr>
              <w:t xml:space="preserve">In </w:t>
            </w:r>
            <w:r w:rsidR="00D9354C" w:rsidRPr="006E50DD">
              <w:rPr>
                <w:rFonts w:ascii="Arial" w:hAnsi="Arial" w:cs="Arial"/>
                <w:b/>
                <w:i/>
                <w:sz w:val="16"/>
                <w:szCs w:val="16"/>
              </w:rPr>
              <w:t>Georgia</w:t>
            </w:r>
            <w:r w:rsidRPr="006E50DD">
              <w:rPr>
                <w:rFonts w:ascii="Arial" w:hAnsi="Arial" w:cs="Arial"/>
                <w:sz w:val="16"/>
                <w:szCs w:val="16"/>
              </w:rPr>
              <w:t xml:space="preserve"> t</w:t>
            </w:r>
            <w:r w:rsidR="00D9354C" w:rsidRPr="006E50DD">
              <w:rPr>
                <w:rFonts w:ascii="Arial" w:hAnsi="Arial" w:cs="Arial"/>
                <w:sz w:val="16"/>
                <w:szCs w:val="16"/>
              </w:rPr>
              <w:t>he</w:t>
            </w:r>
            <w:r w:rsidR="00D9354C" w:rsidRPr="00D9354C">
              <w:rPr>
                <w:rFonts w:ascii="Arial" w:hAnsi="Arial" w:cs="Arial"/>
                <w:sz w:val="16"/>
                <w:szCs w:val="16"/>
              </w:rPr>
              <w:t xml:space="preserve"> project</w:t>
            </w:r>
            <w:r w:rsidR="00D9354C">
              <w:rPr>
                <w:rFonts w:ascii="Arial" w:hAnsi="Arial" w:cs="Arial"/>
                <w:b/>
                <w:sz w:val="16"/>
                <w:szCs w:val="16"/>
              </w:rPr>
              <w:t xml:space="preserve"> “</w:t>
            </w:r>
            <w:r w:rsidR="009F7A4F">
              <w:rPr>
                <w:rFonts w:ascii="Arial" w:hAnsi="Arial" w:cs="Arial"/>
                <w:sz w:val="16"/>
                <w:szCs w:val="16"/>
              </w:rPr>
              <w:t>Supporting Civil Registration Reforms in Georgia</w:t>
            </w:r>
            <w:r w:rsidR="00D9354C">
              <w:rPr>
                <w:rFonts w:ascii="Arial" w:hAnsi="Arial" w:cs="Arial"/>
                <w:sz w:val="16"/>
                <w:szCs w:val="16"/>
              </w:rPr>
              <w:t>” assisted t</w:t>
            </w:r>
            <w:r w:rsidR="00D9354C" w:rsidRPr="00D9354C">
              <w:rPr>
                <w:rFonts w:ascii="Arial" w:eastAsia="Times New Roman" w:hAnsi="Arial" w:cs="Arial"/>
                <w:sz w:val="16"/>
                <w:szCs w:val="16"/>
              </w:rPr>
              <w:t xml:space="preserve">he Civil Registry Agency at the Georgian Ministry of Justice to simplify the registration of civil acts, such as birth, marriages, and child adoption, as well as the administration and issue of passports and identity cards. </w:t>
            </w:r>
            <w:r w:rsidR="00D9354C">
              <w:rPr>
                <w:rFonts w:ascii="Arial" w:eastAsia="Times New Roman" w:hAnsi="Arial" w:cs="Arial"/>
                <w:sz w:val="16"/>
                <w:szCs w:val="16"/>
              </w:rPr>
              <w:t>UNDP helped to a</w:t>
            </w:r>
            <w:r w:rsidR="00D9354C" w:rsidRPr="00D9354C">
              <w:rPr>
                <w:rFonts w:ascii="Arial" w:eastAsia="Times New Roman" w:hAnsi="Arial" w:cs="Arial"/>
                <w:sz w:val="16"/>
                <w:szCs w:val="16"/>
              </w:rPr>
              <w:t>pply</w:t>
            </w:r>
            <w:r w:rsidR="00D9354C">
              <w:rPr>
                <w:rFonts w:ascii="Arial" w:eastAsia="Times New Roman" w:hAnsi="Arial" w:cs="Arial"/>
                <w:sz w:val="16"/>
                <w:szCs w:val="16"/>
              </w:rPr>
              <w:t xml:space="preserve"> t</w:t>
            </w:r>
            <w:r w:rsidR="00D9354C" w:rsidRPr="00D9354C">
              <w:rPr>
                <w:rFonts w:ascii="Arial" w:eastAsia="Times New Roman" w:hAnsi="Arial" w:cs="Arial"/>
                <w:sz w:val="16"/>
                <w:szCs w:val="16"/>
              </w:rPr>
              <w:t xml:space="preserve">he latest technologies, </w:t>
            </w:r>
            <w:r w:rsidR="00D9354C">
              <w:rPr>
                <w:rFonts w:ascii="Arial" w:eastAsia="Times New Roman" w:hAnsi="Arial" w:cs="Arial"/>
                <w:sz w:val="16"/>
                <w:szCs w:val="16"/>
              </w:rPr>
              <w:t xml:space="preserve">so that </w:t>
            </w:r>
            <w:r w:rsidR="00D9354C" w:rsidRPr="00D9354C">
              <w:rPr>
                <w:rFonts w:ascii="Arial" w:eastAsia="Times New Roman" w:hAnsi="Arial" w:cs="Arial"/>
                <w:sz w:val="16"/>
                <w:szCs w:val="16"/>
              </w:rPr>
              <w:t xml:space="preserve">the modernized system </w:t>
            </w:r>
            <w:r w:rsidR="00D9354C">
              <w:rPr>
                <w:rFonts w:ascii="Arial" w:eastAsia="Times New Roman" w:hAnsi="Arial" w:cs="Arial"/>
                <w:sz w:val="16"/>
                <w:szCs w:val="16"/>
              </w:rPr>
              <w:t>is</w:t>
            </w:r>
            <w:r w:rsidR="00D9354C" w:rsidRPr="00D9354C">
              <w:rPr>
                <w:rFonts w:ascii="Arial" w:eastAsia="Times New Roman" w:hAnsi="Arial" w:cs="Arial"/>
                <w:sz w:val="16"/>
                <w:szCs w:val="16"/>
              </w:rPr>
              <w:t xml:space="preserve"> able to operate online and provide citizens with a “one-stop-shop” access to the Agency’s services. The 2.8 million USD project further develop</w:t>
            </w:r>
            <w:r w:rsidR="00D9354C">
              <w:rPr>
                <w:rFonts w:ascii="Arial" w:eastAsia="Times New Roman" w:hAnsi="Arial" w:cs="Arial"/>
                <w:sz w:val="16"/>
                <w:szCs w:val="16"/>
              </w:rPr>
              <w:t>ed</w:t>
            </w:r>
            <w:r w:rsidR="00D9354C" w:rsidRPr="00D9354C">
              <w:rPr>
                <w:rFonts w:ascii="Arial" w:eastAsia="Times New Roman" w:hAnsi="Arial" w:cs="Arial"/>
                <w:sz w:val="16"/>
                <w:szCs w:val="16"/>
              </w:rPr>
              <w:t xml:space="preserve"> the legal framework for the reformed Civil Registry Agency, digitize</w:t>
            </w:r>
            <w:r w:rsidR="00D9354C">
              <w:rPr>
                <w:rFonts w:ascii="Arial" w:eastAsia="Times New Roman" w:hAnsi="Arial" w:cs="Arial"/>
                <w:sz w:val="16"/>
                <w:szCs w:val="16"/>
              </w:rPr>
              <w:t>d</w:t>
            </w:r>
            <w:r w:rsidR="00D9354C" w:rsidRPr="00D9354C">
              <w:rPr>
                <w:rFonts w:ascii="Arial" w:eastAsia="Times New Roman" w:hAnsi="Arial" w:cs="Arial"/>
                <w:sz w:val="16"/>
                <w:szCs w:val="16"/>
              </w:rPr>
              <w:t xml:space="preserve"> the archives and introduce up-to-date Information Technologies.</w:t>
            </w:r>
            <w:r w:rsidR="00D9354C">
              <w:rPr>
                <w:rFonts w:ascii="Arial" w:eastAsia="Times New Roman" w:hAnsi="Arial" w:cs="Arial"/>
                <w:sz w:val="16"/>
                <w:szCs w:val="16"/>
              </w:rPr>
              <w:t xml:space="preserve"> </w:t>
            </w:r>
            <w:r w:rsidR="00D9354C" w:rsidRPr="00D9354C">
              <w:rPr>
                <w:rFonts w:ascii="Arial" w:eastAsia="Times New Roman" w:hAnsi="Arial" w:cs="Arial"/>
                <w:sz w:val="16"/>
                <w:szCs w:val="16"/>
              </w:rPr>
              <w:t>In addition, the project refurbish</w:t>
            </w:r>
            <w:r w:rsidR="00D9354C">
              <w:rPr>
                <w:rFonts w:ascii="Arial" w:eastAsia="Times New Roman" w:hAnsi="Arial" w:cs="Arial"/>
                <w:sz w:val="16"/>
                <w:szCs w:val="16"/>
              </w:rPr>
              <w:t>ed</w:t>
            </w:r>
            <w:r w:rsidR="00D9354C" w:rsidRPr="00D9354C">
              <w:rPr>
                <w:rFonts w:ascii="Arial" w:eastAsia="Times New Roman" w:hAnsi="Arial" w:cs="Arial"/>
                <w:sz w:val="16"/>
                <w:szCs w:val="16"/>
              </w:rPr>
              <w:t xml:space="preserve"> 14 civil registry offices in the regions to provide quality services to the citizens.</w:t>
            </w:r>
          </w:p>
          <w:p w:rsidR="00D9354C" w:rsidRPr="00D9354C" w:rsidRDefault="00D9354C" w:rsidP="00D9354C">
            <w:pPr>
              <w:ind w:left="62"/>
              <w:jc w:val="both"/>
              <w:rPr>
                <w:rFonts w:ascii="Arial" w:hAnsi="Arial" w:cs="Arial"/>
                <w:sz w:val="16"/>
                <w:szCs w:val="16"/>
              </w:rPr>
            </w:pPr>
          </w:p>
          <w:p w:rsidR="006E50DD" w:rsidRPr="00405EFC" w:rsidRDefault="006E50DD" w:rsidP="00C7168C">
            <w:pPr>
              <w:ind w:left="58"/>
              <w:jc w:val="both"/>
              <w:rPr>
                <w:rFonts w:ascii="Arial" w:eastAsia="Times New Roman" w:hAnsi="Arial" w:cs="Arial"/>
                <w:sz w:val="16"/>
                <w:szCs w:val="16"/>
              </w:rPr>
            </w:pPr>
            <w:r>
              <w:rPr>
                <w:rFonts w:ascii="Arial" w:hAnsi="Arial" w:cs="Arial"/>
                <w:sz w:val="16"/>
                <w:szCs w:val="16"/>
              </w:rPr>
              <w:t xml:space="preserve">In </w:t>
            </w:r>
            <w:r w:rsidRPr="006E50DD">
              <w:rPr>
                <w:rFonts w:ascii="Arial" w:hAnsi="Arial" w:cs="Arial"/>
                <w:b/>
                <w:i/>
                <w:sz w:val="16"/>
                <w:szCs w:val="16"/>
              </w:rPr>
              <w:t>Azerbaijan</w:t>
            </w:r>
            <w:r>
              <w:rPr>
                <w:rFonts w:ascii="Arial" w:hAnsi="Arial" w:cs="Arial"/>
                <w:sz w:val="16"/>
                <w:szCs w:val="16"/>
              </w:rPr>
              <w:t>, UNDP supported the e</w:t>
            </w:r>
            <w:r w:rsidR="009F7A4F">
              <w:rPr>
                <w:rFonts w:ascii="Arial" w:hAnsi="Arial" w:cs="Arial"/>
                <w:sz w:val="16"/>
                <w:szCs w:val="16"/>
              </w:rPr>
              <w:t xml:space="preserve">stablishment of </w:t>
            </w:r>
            <w:r>
              <w:rPr>
                <w:rFonts w:ascii="Arial" w:hAnsi="Arial" w:cs="Arial"/>
                <w:sz w:val="16"/>
                <w:szCs w:val="16"/>
              </w:rPr>
              <w:t xml:space="preserve">the </w:t>
            </w:r>
            <w:r w:rsidR="009F7A4F">
              <w:rPr>
                <w:rFonts w:ascii="Arial" w:hAnsi="Arial" w:cs="Arial"/>
                <w:sz w:val="16"/>
                <w:szCs w:val="16"/>
              </w:rPr>
              <w:t>Civil Register of Population</w:t>
            </w:r>
            <w:r>
              <w:rPr>
                <w:rFonts w:ascii="Arial" w:hAnsi="Arial" w:cs="Arial"/>
                <w:sz w:val="16"/>
                <w:szCs w:val="16"/>
              </w:rPr>
              <w:t>.</w:t>
            </w:r>
            <w:r w:rsidR="009F7A4F">
              <w:rPr>
                <w:rFonts w:ascii="Arial" w:hAnsi="Arial" w:cs="Arial"/>
                <w:sz w:val="16"/>
                <w:szCs w:val="16"/>
              </w:rPr>
              <w:t xml:space="preserve"> </w:t>
            </w:r>
            <w:r w:rsidRPr="00405EFC">
              <w:rPr>
                <w:rFonts w:ascii="Arial" w:eastAsia="Times New Roman" w:hAnsi="Arial" w:cs="Arial"/>
                <w:sz w:val="16"/>
                <w:szCs w:val="16"/>
              </w:rPr>
              <w:t xml:space="preserve">During the project life-cycle, among other milestones, conceptual plan on establishment of the civil registry was developed; Civil Status Acts Automated Registration Information System was introduced; about 90 regional registration offices were equipped with modern computer networks; over 15 million paper-based civil status acts were transferred into electronic format and codified in a database; and a modern archive system for civil status acts was created in compliance with international standards. Also, a </w:t>
            </w:r>
            <w:proofErr w:type="spellStart"/>
            <w:r w:rsidRPr="00405EFC">
              <w:rPr>
                <w:rFonts w:ascii="Arial" w:eastAsia="Times New Roman" w:hAnsi="Arial" w:cs="Arial"/>
                <w:sz w:val="16"/>
                <w:szCs w:val="16"/>
              </w:rPr>
              <w:t>fibre</w:t>
            </w:r>
            <w:proofErr w:type="spellEnd"/>
            <w:r w:rsidRPr="00405EFC">
              <w:rPr>
                <w:rFonts w:ascii="Arial" w:eastAsia="Times New Roman" w:hAnsi="Arial" w:cs="Arial"/>
                <w:sz w:val="16"/>
                <w:szCs w:val="16"/>
              </w:rPr>
              <w:t>-optic communication channel between the Ministry of Justice and its divisions and the Ministry of Interior was created to ensure systematic and continuous real time information exchange, with a backup server.</w:t>
            </w:r>
            <w:r w:rsidR="005A784E">
              <w:rPr>
                <w:rFonts w:ascii="Arial" w:eastAsia="Times New Roman" w:hAnsi="Arial" w:cs="Arial"/>
                <w:sz w:val="16"/>
                <w:szCs w:val="16"/>
              </w:rPr>
              <w:t xml:space="preserve"> The project budget was 9,010,000.00 USD.</w:t>
            </w:r>
          </w:p>
          <w:p w:rsidR="006E50DD" w:rsidRPr="00C7168C" w:rsidRDefault="006E50DD" w:rsidP="009F7A4F">
            <w:pPr>
              <w:spacing w:before="120" w:after="120"/>
              <w:ind w:left="62"/>
              <w:jc w:val="both"/>
              <w:rPr>
                <w:rFonts w:ascii="Arial" w:hAnsi="Arial" w:cs="Arial"/>
                <w:sz w:val="16"/>
                <w:szCs w:val="16"/>
              </w:rPr>
            </w:pPr>
            <w:r w:rsidRPr="00C7168C">
              <w:rPr>
                <w:rFonts w:ascii="Arial" w:hAnsi="Arial" w:cs="Arial"/>
                <w:sz w:val="16"/>
                <w:szCs w:val="16"/>
              </w:rPr>
              <w:t xml:space="preserve">In </w:t>
            </w:r>
            <w:r w:rsidRPr="00C7168C">
              <w:rPr>
                <w:rFonts w:ascii="Arial" w:hAnsi="Arial" w:cs="Arial"/>
                <w:b/>
                <w:i/>
                <w:sz w:val="16"/>
                <w:szCs w:val="16"/>
              </w:rPr>
              <w:t>Armenia</w:t>
            </w:r>
            <w:r w:rsidRPr="00C7168C">
              <w:rPr>
                <w:rFonts w:ascii="Arial" w:hAnsi="Arial" w:cs="Arial"/>
                <w:sz w:val="16"/>
                <w:szCs w:val="16"/>
              </w:rPr>
              <w:t xml:space="preserve">, </w:t>
            </w:r>
            <w:r w:rsidR="00C7168C" w:rsidRPr="00C7168C">
              <w:rPr>
                <w:rFonts w:ascii="Arial" w:hAnsi="Arial" w:cs="Arial"/>
                <w:sz w:val="16"/>
                <w:szCs w:val="16"/>
              </w:rPr>
              <w:t>UNDP through its EU Advisory Group support to the Government of Armenia in its reform agenda provided advisory services in the field of development of an efficient statistical system in the area of Justice, including for Notaries, Civil Status Registry, etc. It included the analysis of software, methodology and notification mech</w:t>
            </w:r>
            <w:r w:rsidR="006E42A0">
              <w:rPr>
                <w:rFonts w:ascii="Arial" w:hAnsi="Arial" w:cs="Arial"/>
                <w:sz w:val="16"/>
                <w:szCs w:val="16"/>
              </w:rPr>
              <w:t>anisms used in EU member states.</w:t>
            </w:r>
          </w:p>
          <w:p w:rsidR="003C1B1D" w:rsidRPr="00A55C97" w:rsidRDefault="006E42A0" w:rsidP="006E42A0">
            <w:pPr>
              <w:spacing w:before="120" w:after="120"/>
              <w:ind w:left="62"/>
              <w:jc w:val="both"/>
              <w:rPr>
                <w:rFonts w:ascii="Arial" w:hAnsi="Arial" w:cs="Arial"/>
                <w:sz w:val="16"/>
                <w:szCs w:val="16"/>
              </w:rPr>
            </w:pPr>
            <w:r>
              <w:rPr>
                <w:rFonts w:ascii="Arial" w:hAnsi="Arial" w:cs="Arial"/>
                <w:sz w:val="16"/>
                <w:szCs w:val="16"/>
              </w:rPr>
              <w:t>Building on UNDP</w:t>
            </w:r>
            <w:r w:rsidR="00C64FE6">
              <w:rPr>
                <w:rFonts w:ascii="Arial" w:hAnsi="Arial" w:cs="Arial"/>
                <w:sz w:val="16"/>
                <w:szCs w:val="16"/>
              </w:rPr>
              <w:t xml:space="preserve"> comparative advantage in Tajikistan in supporting the Government to implement Rule of Law and Access to Justice reforms through policy dialogue, institutions building and improved access to justice service delivery, </w:t>
            </w:r>
            <w:r>
              <w:rPr>
                <w:rFonts w:ascii="Arial" w:hAnsi="Arial" w:cs="Arial"/>
                <w:sz w:val="16"/>
                <w:szCs w:val="16"/>
              </w:rPr>
              <w:t xml:space="preserve">considering strong partnership with the Ministry of Justice and its subsidiary institutions responsible for civil registration and </w:t>
            </w:r>
            <w:r w:rsidR="00C64FE6">
              <w:rPr>
                <w:rFonts w:ascii="Arial" w:hAnsi="Arial" w:cs="Arial"/>
                <w:sz w:val="16"/>
                <w:szCs w:val="16"/>
              </w:rPr>
              <w:t>using UNDP’s regional experience and expertise in implementation of civil registration related reforms</w:t>
            </w:r>
            <w:r>
              <w:rPr>
                <w:rFonts w:ascii="Arial" w:hAnsi="Arial" w:cs="Arial"/>
                <w:sz w:val="16"/>
                <w:szCs w:val="16"/>
              </w:rPr>
              <w:t>, UNDP Tajikistan is best positioned to be the partner of choice of the Government of Tajikistan and the development partners in supporting the implementation of the civil registration reform in Tajikistan.</w:t>
            </w:r>
          </w:p>
        </w:tc>
      </w:tr>
      <w:tr w:rsidR="005F417A" w:rsidRPr="00E7076C" w:rsidTr="0048209A">
        <w:trPr>
          <w:trHeight w:val="122"/>
          <w:tblCellSpacing w:w="0" w:type="dxa"/>
        </w:trPr>
        <w:tc>
          <w:tcPr>
            <w:tcW w:w="1044" w:type="pct"/>
            <w:shd w:val="clear" w:color="auto" w:fill="auto"/>
          </w:tcPr>
          <w:p w:rsidR="005F417A" w:rsidRPr="00E7076C" w:rsidRDefault="005F417A" w:rsidP="0061210E">
            <w:pPr>
              <w:jc w:val="both"/>
              <w:rPr>
                <w:rFonts w:ascii="Arial" w:hAnsi="Arial" w:cs="Arial"/>
                <w:sz w:val="16"/>
                <w:szCs w:val="16"/>
              </w:rPr>
            </w:pPr>
            <w:r w:rsidRPr="00E7076C">
              <w:rPr>
                <w:rFonts w:ascii="Arial" w:hAnsi="Arial" w:cs="Arial"/>
                <w:b/>
                <w:bCs/>
                <w:sz w:val="16"/>
                <w:szCs w:val="16"/>
              </w:rPr>
              <w:t>Contacts:</w:t>
            </w:r>
          </w:p>
        </w:tc>
        <w:tc>
          <w:tcPr>
            <w:tcW w:w="3956" w:type="pct"/>
            <w:shd w:val="clear" w:color="auto" w:fill="auto"/>
          </w:tcPr>
          <w:p w:rsidR="005F417A" w:rsidRDefault="008343E8" w:rsidP="007C78C8">
            <w:pPr>
              <w:ind w:left="64"/>
              <w:jc w:val="both"/>
              <w:rPr>
                <w:rFonts w:ascii="Arial" w:hAnsi="Arial" w:cs="Arial"/>
                <w:sz w:val="16"/>
                <w:szCs w:val="16"/>
              </w:rPr>
            </w:pPr>
            <w:r>
              <w:rPr>
                <w:rFonts w:ascii="Arial" w:hAnsi="Arial" w:cs="Arial"/>
                <w:sz w:val="16"/>
                <w:szCs w:val="16"/>
              </w:rPr>
              <w:t>Aliona Niculita, Deputy Country Director, UNDP Tajikistan (</w:t>
            </w:r>
            <w:hyperlink r:id="rId9" w:history="1">
              <w:r w:rsidRPr="003021DD">
                <w:rPr>
                  <w:rStyle w:val="Hyperlink"/>
                  <w:rFonts w:ascii="Arial" w:hAnsi="Arial" w:cs="Arial"/>
                  <w:sz w:val="16"/>
                  <w:szCs w:val="16"/>
                </w:rPr>
                <w:t>aliona.niculita@undp.org</w:t>
              </w:r>
            </w:hyperlink>
            <w:r>
              <w:rPr>
                <w:rFonts w:ascii="Arial" w:hAnsi="Arial" w:cs="Arial"/>
                <w:sz w:val="16"/>
                <w:szCs w:val="16"/>
              </w:rPr>
              <w:t>; +992 93 999 9007)</w:t>
            </w:r>
          </w:p>
          <w:p w:rsidR="005A784E" w:rsidRPr="00E7076C" w:rsidRDefault="005A784E" w:rsidP="005A784E">
            <w:pPr>
              <w:ind w:left="64"/>
              <w:jc w:val="both"/>
              <w:rPr>
                <w:rFonts w:ascii="Arial" w:hAnsi="Arial" w:cs="Arial"/>
                <w:sz w:val="16"/>
                <w:szCs w:val="16"/>
              </w:rPr>
            </w:pPr>
            <w:r>
              <w:rPr>
                <w:rFonts w:ascii="Arial" w:hAnsi="Arial" w:cs="Arial"/>
                <w:sz w:val="16"/>
                <w:szCs w:val="16"/>
              </w:rPr>
              <w:t xml:space="preserve">Gulbahor Nematova, </w:t>
            </w:r>
            <w:proofErr w:type="spellStart"/>
            <w:r>
              <w:rPr>
                <w:rFonts w:ascii="Arial" w:hAnsi="Arial" w:cs="Arial"/>
                <w:sz w:val="16"/>
                <w:szCs w:val="16"/>
              </w:rPr>
              <w:t>Programme</w:t>
            </w:r>
            <w:proofErr w:type="spellEnd"/>
            <w:r>
              <w:rPr>
                <w:rFonts w:ascii="Arial" w:hAnsi="Arial" w:cs="Arial"/>
                <w:sz w:val="16"/>
                <w:szCs w:val="16"/>
              </w:rPr>
              <w:t xml:space="preserve"> Officer, UNDP Tajikistan (</w:t>
            </w:r>
            <w:hyperlink r:id="rId10" w:history="1">
              <w:r w:rsidRPr="008D0321">
                <w:rPr>
                  <w:rStyle w:val="Hyperlink"/>
                  <w:rFonts w:ascii="Arial" w:hAnsi="Arial" w:cs="Arial"/>
                  <w:sz w:val="16"/>
                  <w:szCs w:val="16"/>
                </w:rPr>
                <w:t>Gulbahor.nematova@undp.org</w:t>
              </w:r>
            </w:hyperlink>
            <w:r>
              <w:rPr>
                <w:rFonts w:ascii="Arial" w:hAnsi="Arial" w:cs="Arial"/>
                <w:sz w:val="16"/>
                <w:szCs w:val="16"/>
              </w:rPr>
              <w:t xml:space="preserve"> +992 93 999 9031)</w:t>
            </w:r>
          </w:p>
        </w:tc>
      </w:tr>
    </w:tbl>
    <w:p w:rsidR="00EC26B2" w:rsidRDefault="00EC26B2" w:rsidP="00CA3A13">
      <w:pPr>
        <w:rPr>
          <w:rFonts w:cs="Arial"/>
          <w:b/>
          <w:sz w:val="16"/>
          <w:szCs w:val="16"/>
          <w:lang w:val="en-GB"/>
        </w:rPr>
      </w:pPr>
    </w:p>
    <w:sectPr w:rsidR="00EC26B2" w:rsidSect="00A55C97">
      <w:pgSz w:w="11909" w:h="16834" w:code="9"/>
      <w:pgMar w:top="36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40" w:rsidRDefault="00797040">
      <w:r>
        <w:separator/>
      </w:r>
    </w:p>
  </w:endnote>
  <w:endnote w:type="continuationSeparator" w:id="0">
    <w:p w:rsidR="00797040" w:rsidRDefault="00797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40" w:rsidRDefault="00797040">
      <w:r>
        <w:separator/>
      </w:r>
    </w:p>
  </w:footnote>
  <w:footnote w:type="continuationSeparator" w:id="0">
    <w:p w:rsidR="00797040" w:rsidRDefault="00797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87476"/>
    <w:multiLevelType w:val="multilevel"/>
    <w:tmpl w:val="C682E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
    <w:nsid w:val="66272E1C"/>
    <w:multiLevelType w:val="multilevel"/>
    <w:tmpl w:val="B89024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eastAsia="Batang" w:hAnsi="Times New Roman" w:cs="Times New Roman"/>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
    <w:nsid w:val="6BE04A2E"/>
    <w:multiLevelType w:val="hybridMultilevel"/>
    <w:tmpl w:val="0D109226"/>
    <w:lvl w:ilvl="0" w:tplc="4D5AC510">
      <w:start w:val="1"/>
      <w:numFmt w:val="decimal"/>
      <w:lvlText w:val="%1."/>
      <w:lvlJc w:val="left"/>
      <w:pPr>
        <w:tabs>
          <w:tab w:val="num" w:pos="720"/>
        </w:tabs>
        <w:ind w:left="720" w:hanging="360"/>
      </w:pPr>
      <w:rPr>
        <w:rFonts w:hint="default"/>
      </w:rPr>
    </w:lvl>
    <w:lvl w:ilvl="1" w:tplc="A176AE76">
      <w:start w:val="1"/>
      <w:numFmt w:val="decimal"/>
      <w:isLgl/>
      <w:lvlText w:val="%2.%2."/>
      <w:lvlJc w:val="left"/>
      <w:pPr>
        <w:tabs>
          <w:tab w:val="num" w:pos="720"/>
        </w:tabs>
        <w:ind w:left="720" w:hanging="360"/>
      </w:pPr>
      <w:rPr>
        <w:rFonts w:hint="default"/>
      </w:rPr>
    </w:lvl>
    <w:lvl w:ilvl="2" w:tplc="8D92BE94">
      <w:numFmt w:val="none"/>
      <w:lvlText w:val=""/>
      <w:lvlJc w:val="left"/>
      <w:pPr>
        <w:tabs>
          <w:tab w:val="num" w:pos="360"/>
        </w:tabs>
      </w:pPr>
    </w:lvl>
    <w:lvl w:ilvl="3" w:tplc="CA00F0BC">
      <w:numFmt w:val="none"/>
      <w:lvlText w:val=""/>
      <w:lvlJc w:val="left"/>
      <w:pPr>
        <w:tabs>
          <w:tab w:val="num" w:pos="360"/>
        </w:tabs>
      </w:pPr>
    </w:lvl>
    <w:lvl w:ilvl="4" w:tplc="186401F6">
      <w:numFmt w:val="none"/>
      <w:lvlText w:val=""/>
      <w:lvlJc w:val="left"/>
      <w:pPr>
        <w:tabs>
          <w:tab w:val="num" w:pos="360"/>
        </w:tabs>
      </w:pPr>
    </w:lvl>
    <w:lvl w:ilvl="5" w:tplc="ACEC73F2">
      <w:numFmt w:val="none"/>
      <w:lvlText w:val=""/>
      <w:lvlJc w:val="left"/>
      <w:pPr>
        <w:tabs>
          <w:tab w:val="num" w:pos="360"/>
        </w:tabs>
      </w:pPr>
    </w:lvl>
    <w:lvl w:ilvl="6" w:tplc="8C82B7EE">
      <w:numFmt w:val="none"/>
      <w:lvlText w:val=""/>
      <w:lvlJc w:val="left"/>
      <w:pPr>
        <w:tabs>
          <w:tab w:val="num" w:pos="360"/>
        </w:tabs>
      </w:pPr>
    </w:lvl>
    <w:lvl w:ilvl="7" w:tplc="C4069FB6">
      <w:numFmt w:val="none"/>
      <w:lvlText w:val=""/>
      <w:lvlJc w:val="left"/>
      <w:pPr>
        <w:tabs>
          <w:tab w:val="num" w:pos="360"/>
        </w:tabs>
      </w:pPr>
    </w:lvl>
    <w:lvl w:ilvl="8" w:tplc="A260EADE">
      <w:numFmt w:val="none"/>
      <w:lvlText w:val=""/>
      <w:lvlJc w:val="left"/>
      <w:pPr>
        <w:tabs>
          <w:tab w:val="num" w:pos="360"/>
        </w:tabs>
      </w:pPr>
    </w:lvl>
  </w:abstractNum>
  <w:abstractNum w:abstractNumId="3">
    <w:nsid w:val="78C31CC8"/>
    <w:multiLevelType w:val="hybridMultilevel"/>
    <w:tmpl w:val="651C3A1E"/>
    <w:lvl w:ilvl="0" w:tplc="041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177A6E"/>
    <w:multiLevelType w:val="hybridMultilevel"/>
    <w:tmpl w:val="44D05772"/>
    <w:lvl w:ilvl="0" w:tplc="DA5CB574">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
  <w:rsids>
    <w:rsidRoot w:val="00B5799F"/>
    <w:rsid w:val="0003199C"/>
    <w:rsid w:val="00032D81"/>
    <w:rsid w:val="00040005"/>
    <w:rsid w:val="00044E8D"/>
    <w:rsid w:val="000664C9"/>
    <w:rsid w:val="000760E9"/>
    <w:rsid w:val="00083347"/>
    <w:rsid w:val="000B224A"/>
    <w:rsid w:val="000B30AB"/>
    <w:rsid w:val="000D1985"/>
    <w:rsid w:val="000F3A55"/>
    <w:rsid w:val="00100F9F"/>
    <w:rsid w:val="00153D39"/>
    <w:rsid w:val="00170C15"/>
    <w:rsid w:val="001867B9"/>
    <w:rsid w:val="001A6D54"/>
    <w:rsid w:val="001A710F"/>
    <w:rsid w:val="001B1448"/>
    <w:rsid w:val="001C0A56"/>
    <w:rsid w:val="001D45D6"/>
    <w:rsid w:val="001F7CE1"/>
    <w:rsid w:val="00204609"/>
    <w:rsid w:val="00297A79"/>
    <w:rsid w:val="002B2782"/>
    <w:rsid w:val="002C0F02"/>
    <w:rsid w:val="002C221E"/>
    <w:rsid w:val="002E101B"/>
    <w:rsid w:val="002E4EE3"/>
    <w:rsid w:val="002F0E80"/>
    <w:rsid w:val="002F3023"/>
    <w:rsid w:val="00314FB1"/>
    <w:rsid w:val="00342002"/>
    <w:rsid w:val="003576C1"/>
    <w:rsid w:val="0036142C"/>
    <w:rsid w:val="003744AA"/>
    <w:rsid w:val="00393B5E"/>
    <w:rsid w:val="00395A89"/>
    <w:rsid w:val="003A2DD0"/>
    <w:rsid w:val="003A3507"/>
    <w:rsid w:val="003A5C04"/>
    <w:rsid w:val="003C1B1D"/>
    <w:rsid w:val="003C47FA"/>
    <w:rsid w:val="003C48F0"/>
    <w:rsid w:val="003F2B8F"/>
    <w:rsid w:val="003F50CA"/>
    <w:rsid w:val="00400C2C"/>
    <w:rsid w:val="004068DA"/>
    <w:rsid w:val="00410262"/>
    <w:rsid w:val="00411B1F"/>
    <w:rsid w:val="00424ED3"/>
    <w:rsid w:val="004266CF"/>
    <w:rsid w:val="00427FB3"/>
    <w:rsid w:val="00436DEC"/>
    <w:rsid w:val="00481945"/>
    <w:rsid w:val="0048209A"/>
    <w:rsid w:val="00496436"/>
    <w:rsid w:val="004B0D99"/>
    <w:rsid w:val="004E4F65"/>
    <w:rsid w:val="00500352"/>
    <w:rsid w:val="00542A0E"/>
    <w:rsid w:val="005840EC"/>
    <w:rsid w:val="00586DBF"/>
    <w:rsid w:val="005A784E"/>
    <w:rsid w:val="005B6AB2"/>
    <w:rsid w:val="005C5D29"/>
    <w:rsid w:val="005D17E2"/>
    <w:rsid w:val="005F417A"/>
    <w:rsid w:val="0061210E"/>
    <w:rsid w:val="006138B4"/>
    <w:rsid w:val="00627524"/>
    <w:rsid w:val="00643413"/>
    <w:rsid w:val="00666E9E"/>
    <w:rsid w:val="00691FFC"/>
    <w:rsid w:val="006A677F"/>
    <w:rsid w:val="006A6BA0"/>
    <w:rsid w:val="006E42A0"/>
    <w:rsid w:val="006E50DD"/>
    <w:rsid w:val="0073040F"/>
    <w:rsid w:val="00744B76"/>
    <w:rsid w:val="007459A0"/>
    <w:rsid w:val="007604AE"/>
    <w:rsid w:val="00770B21"/>
    <w:rsid w:val="00772926"/>
    <w:rsid w:val="00783E69"/>
    <w:rsid w:val="00785D38"/>
    <w:rsid w:val="00793A0D"/>
    <w:rsid w:val="00797040"/>
    <w:rsid w:val="007A149A"/>
    <w:rsid w:val="007B73B2"/>
    <w:rsid w:val="007C78C8"/>
    <w:rsid w:val="007E7144"/>
    <w:rsid w:val="00803295"/>
    <w:rsid w:val="008343E8"/>
    <w:rsid w:val="00847883"/>
    <w:rsid w:val="00871D4B"/>
    <w:rsid w:val="00881688"/>
    <w:rsid w:val="008841C8"/>
    <w:rsid w:val="00897E8A"/>
    <w:rsid w:val="008D0A77"/>
    <w:rsid w:val="008D3F7B"/>
    <w:rsid w:val="008D65A1"/>
    <w:rsid w:val="008E0ACA"/>
    <w:rsid w:val="008E6A81"/>
    <w:rsid w:val="008F4BFE"/>
    <w:rsid w:val="008F5376"/>
    <w:rsid w:val="009032B1"/>
    <w:rsid w:val="00906D0D"/>
    <w:rsid w:val="009255A3"/>
    <w:rsid w:val="009543F1"/>
    <w:rsid w:val="00983CDA"/>
    <w:rsid w:val="00991FEB"/>
    <w:rsid w:val="009A51A8"/>
    <w:rsid w:val="009A6309"/>
    <w:rsid w:val="009B2F35"/>
    <w:rsid w:val="009F02C9"/>
    <w:rsid w:val="009F7A4F"/>
    <w:rsid w:val="00A03727"/>
    <w:rsid w:val="00A05D6D"/>
    <w:rsid w:val="00A36497"/>
    <w:rsid w:val="00A55C97"/>
    <w:rsid w:val="00A60025"/>
    <w:rsid w:val="00A91EC1"/>
    <w:rsid w:val="00A938E2"/>
    <w:rsid w:val="00AB0306"/>
    <w:rsid w:val="00AF5C85"/>
    <w:rsid w:val="00B07238"/>
    <w:rsid w:val="00B21840"/>
    <w:rsid w:val="00B44D0C"/>
    <w:rsid w:val="00B5799F"/>
    <w:rsid w:val="00BA1B5A"/>
    <w:rsid w:val="00BA2DA3"/>
    <w:rsid w:val="00BA3EBB"/>
    <w:rsid w:val="00BA6040"/>
    <w:rsid w:val="00BB02D0"/>
    <w:rsid w:val="00BC76A1"/>
    <w:rsid w:val="00C036D4"/>
    <w:rsid w:val="00C147E0"/>
    <w:rsid w:val="00C17445"/>
    <w:rsid w:val="00C23407"/>
    <w:rsid w:val="00C30B0D"/>
    <w:rsid w:val="00C64FE6"/>
    <w:rsid w:val="00C7168C"/>
    <w:rsid w:val="00C73B51"/>
    <w:rsid w:val="00C842F8"/>
    <w:rsid w:val="00CA3A13"/>
    <w:rsid w:val="00CB6907"/>
    <w:rsid w:val="00CC0A46"/>
    <w:rsid w:val="00D07ACD"/>
    <w:rsid w:val="00D103D3"/>
    <w:rsid w:val="00D2366C"/>
    <w:rsid w:val="00D61051"/>
    <w:rsid w:val="00D86F0F"/>
    <w:rsid w:val="00D87475"/>
    <w:rsid w:val="00D92ED6"/>
    <w:rsid w:val="00D9354C"/>
    <w:rsid w:val="00DB48A5"/>
    <w:rsid w:val="00DC791B"/>
    <w:rsid w:val="00DD30E5"/>
    <w:rsid w:val="00DD3331"/>
    <w:rsid w:val="00DE3067"/>
    <w:rsid w:val="00DE4761"/>
    <w:rsid w:val="00E0144E"/>
    <w:rsid w:val="00E12CE2"/>
    <w:rsid w:val="00E354E9"/>
    <w:rsid w:val="00E60776"/>
    <w:rsid w:val="00E62907"/>
    <w:rsid w:val="00E8470C"/>
    <w:rsid w:val="00EA519A"/>
    <w:rsid w:val="00EA791A"/>
    <w:rsid w:val="00EB5EED"/>
    <w:rsid w:val="00EC26B2"/>
    <w:rsid w:val="00ED6599"/>
    <w:rsid w:val="00EF26F5"/>
    <w:rsid w:val="00F0621B"/>
    <w:rsid w:val="00F370F1"/>
    <w:rsid w:val="00F57660"/>
    <w:rsid w:val="00F62A7C"/>
    <w:rsid w:val="00F70507"/>
    <w:rsid w:val="00F7665E"/>
    <w:rsid w:val="00F950E4"/>
    <w:rsid w:val="00FA0846"/>
    <w:rsid w:val="00FA3BBA"/>
    <w:rsid w:val="00FD009F"/>
    <w:rsid w:val="00FD169E"/>
    <w:rsid w:val="00FD3090"/>
    <w:rsid w:val="00FF1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090"/>
    <w:rPr>
      <w:sz w:val="24"/>
      <w:szCs w:val="24"/>
      <w:lang w:eastAsia="ko-KR"/>
    </w:rPr>
  </w:style>
  <w:style w:type="paragraph" w:styleId="Heading2">
    <w:name w:val="heading 2"/>
    <w:basedOn w:val="Normal"/>
    <w:next w:val="Normal"/>
    <w:qFormat/>
    <w:rsid w:val="00EC26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199C"/>
    <w:pPr>
      <w:keepNext/>
      <w:jc w:val="center"/>
      <w:outlineLvl w:val="2"/>
    </w:pPr>
    <w:rPr>
      <w:rFonts w:eastAsia="Times New Roman"/>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99C"/>
    <w:pPr>
      <w:tabs>
        <w:tab w:val="center" w:pos="4320"/>
        <w:tab w:val="right" w:pos="8640"/>
      </w:tabs>
    </w:pPr>
    <w:rPr>
      <w:rFonts w:eastAsia="Times New Roman"/>
      <w:lang w:eastAsia="en-US"/>
    </w:rPr>
  </w:style>
  <w:style w:type="paragraph" w:styleId="FootnoteText">
    <w:name w:val="footnote text"/>
    <w:aliases w:val="Footnote Text Char1,Footnote Text Char Char1,Footnote Text Char Char Char,Footnote Text Char,Footnote Text Char Char"/>
    <w:basedOn w:val="Normal"/>
    <w:semiHidden/>
    <w:rsid w:val="00AB0306"/>
    <w:pPr>
      <w:jc w:val="both"/>
    </w:pPr>
    <w:rPr>
      <w:rFonts w:ascii="Arial" w:eastAsia="Times New Roman" w:hAnsi="Arial"/>
      <w:sz w:val="20"/>
      <w:lang w:eastAsia="en-US"/>
    </w:rPr>
  </w:style>
  <w:style w:type="character" w:styleId="FootnoteReference">
    <w:name w:val="footnote reference"/>
    <w:basedOn w:val="DefaultParagraphFont"/>
    <w:semiHidden/>
    <w:rsid w:val="00AB0306"/>
    <w:rPr>
      <w:rFonts w:ascii="Times New Roman" w:hAnsi="Times New Roman"/>
      <w:dstrike w:val="0"/>
      <w:sz w:val="20"/>
      <w:szCs w:val="20"/>
      <w:vertAlign w:val="superscript"/>
    </w:rPr>
  </w:style>
  <w:style w:type="character" w:customStyle="1" w:styleId="FootnoteTextChar1Char">
    <w:name w:val="Footnote Text Char1 Char"/>
    <w:aliases w:val="Footnote Text Char Char1 Char,Footnote Text Char Char Char Char,Footnote Text Char Char Char1"/>
    <w:basedOn w:val="DefaultParagraphFont"/>
    <w:rsid w:val="00AB0306"/>
    <w:rPr>
      <w:rFonts w:ascii="Arial" w:hAnsi="Arial"/>
      <w:sz w:val="16"/>
      <w:szCs w:val="24"/>
      <w:lang w:val="en-GB" w:eastAsia="en-US" w:bidi="ar-SA"/>
    </w:rPr>
  </w:style>
  <w:style w:type="paragraph" w:styleId="BalloonText">
    <w:name w:val="Balloon Text"/>
    <w:basedOn w:val="Normal"/>
    <w:semiHidden/>
    <w:rsid w:val="003576C1"/>
    <w:rPr>
      <w:rFonts w:ascii="Tahoma" w:hAnsi="Tahoma" w:cs="Tahoma"/>
      <w:sz w:val="16"/>
      <w:szCs w:val="16"/>
    </w:rPr>
  </w:style>
  <w:style w:type="character" w:styleId="CommentReference">
    <w:name w:val="annotation reference"/>
    <w:basedOn w:val="DefaultParagraphFont"/>
    <w:semiHidden/>
    <w:rsid w:val="00FD009F"/>
    <w:rPr>
      <w:sz w:val="16"/>
      <w:szCs w:val="16"/>
    </w:rPr>
  </w:style>
  <w:style w:type="paragraph" w:styleId="CommentText">
    <w:name w:val="annotation text"/>
    <w:basedOn w:val="Normal"/>
    <w:semiHidden/>
    <w:rsid w:val="00FD009F"/>
    <w:rPr>
      <w:sz w:val="20"/>
      <w:szCs w:val="20"/>
    </w:rPr>
  </w:style>
  <w:style w:type="paragraph" w:styleId="CommentSubject">
    <w:name w:val="annotation subject"/>
    <w:basedOn w:val="CommentText"/>
    <w:next w:val="CommentText"/>
    <w:semiHidden/>
    <w:rsid w:val="00FD009F"/>
    <w:rPr>
      <w:b/>
      <w:bCs/>
    </w:rPr>
  </w:style>
  <w:style w:type="paragraph" w:styleId="BodyText">
    <w:name w:val="Body Text"/>
    <w:basedOn w:val="Normal"/>
    <w:rsid w:val="00EC26B2"/>
    <w:pPr>
      <w:jc w:val="both"/>
    </w:pPr>
    <w:rPr>
      <w:rFonts w:eastAsia="Times New Roman"/>
      <w:lang w:eastAsia="en-US"/>
    </w:rPr>
  </w:style>
  <w:style w:type="paragraph" w:customStyle="1" w:styleId="TableHeaderPage">
    <w:name w:val="Table Header Page"/>
    <w:basedOn w:val="Normal"/>
    <w:rsid w:val="00EC26B2"/>
    <w:pPr>
      <w:spacing w:before="60" w:after="60"/>
    </w:pPr>
    <w:rPr>
      <w:rFonts w:eastAsia="Times New Roman"/>
      <w:b/>
      <w:sz w:val="20"/>
      <w:szCs w:val="20"/>
      <w:lang w:val="en-GB" w:eastAsia="en-US"/>
    </w:rPr>
  </w:style>
  <w:style w:type="paragraph" w:styleId="Title">
    <w:name w:val="Title"/>
    <w:basedOn w:val="Normal"/>
    <w:qFormat/>
    <w:rsid w:val="00EC26B2"/>
    <w:pPr>
      <w:jc w:val="center"/>
    </w:pPr>
    <w:rPr>
      <w:rFonts w:ascii="Arial Black" w:eastAsia="Times New Roman" w:hAnsi="Arial Black"/>
      <w:smallCaps/>
      <w:szCs w:val="20"/>
      <w:lang w:eastAsia="en-US"/>
    </w:rPr>
  </w:style>
  <w:style w:type="paragraph" w:customStyle="1" w:styleId="CharChar1CharCharCharChar">
    <w:name w:val="Char Char1 Знак Знак Char Char Знак Знак Char Char"/>
    <w:basedOn w:val="Heading2"/>
    <w:rsid w:val="00C842F8"/>
    <w:pPr>
      <w:pageBreakBefore/>
      <w:tabs>
        <w:tab w:val="left" w:pos="850"/>
        <w:tab w:val="left" w:pos="1191"/>
        <w:tab w:val="left" w:pos="1531"/>
      </w:tabs>
      <w:spacing w:before="120" w:after="120"/>
      <w:jc w:val="center"/>
    </w:pPr>
    <w:rPr>
      <w:rFonts w:ascii="Tahoma" w:eastAsia="Times New Roman" w:hAnsi="Tahoma" w:cs="Tahoma"/>
      <w:i w:val="0"/>
      <w:iCs w:val="0"/>
      <w:color w:val="FFFFFF"/>
      <w:spacing w:val="20"/>
      <w:sz w:val="22"/>
      <w:szCs w:val="22"/>
      <w:lang w:val="en-GB" w:eastAsia="zh-CN"/>
    </w:rPr>
  </w:style>
  <w:style w:type="paragraph" w:customStyle="1" w:styleId="a">
    <w:name w:val="Содержимое таблицы"/>
    <w:basedOn w:val="Normal"/>
    <w:rsid w:val="00C842F8"/>
    <w:pPr>
      <w:widowControl w:val="0"/>
      <w:suppressLineNumbers/>
      <w:suppressAutoHyphens/>
    </w:pPr>
    <w:rPr>
      <w:rFonts w:ascii="Arial" w:eastAsia="Times New Roman" w:hAnsi="Arial" w:cs="Arial"/>
      <w:noProof/>
      <w:lang w:eastAsia="en-US"/>
    </w:rPr>
  </w:style>
  <w:style w:type="paragraph" w:styleId="BodyText3">
    <w:name w:val="Body Text 3"/>
    <w:basedOn w:val="Normal"/>
    <w:rsid w:val="00627524"/>
    <w:pPr>
      <w:spacing w:after="120"/>
    </w:pPr>
    <w:rPr>
      <w:sz w:val="16"/>
      <w:szCs w:val="16"/>
    </w:rPr>
  </w:style>
  <w:style w:type="table" w:styleId="TableGrid">
    <w:name w:val="Table Grid"/>
    <w:basedOn w:val="TableNormal"/>
    <w:rsid w:val="00BB0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343E8"/>
    <w:rPr>
      <w:color w:val="0000FF" w:themeColor="hyperlink"/>
      <w:u w:val="single"/>
    </w:rPr>
  </w:style>
  <w:style w:type="paragraph" w:styleId="ListParagraph">
    <w:name w:val="List Paragraph"/>
    <w:basedOn w:val="Normal"/>
    <w:uiPriority w:val="34"/>
    <w:qFormat/>
    <w:rsid w:val="00F0621B"/>
    <w:pPr>
      <w:ind w:left="720"/>
      <w:contextualSpacing/>
    </w:pPr>
  </w:style>
</w:styles>
</file>

<file path=word/webSettings.xml><?xml version="1.0" encoding="utf-8"?>
<w:webSettings xmlns:r="http://schemas.openxmlformats.org/officeDocument/2006/relationships" xmlns:w="http://schemas.openxmlformats.org/wordprocessingml/2006/main">
  <w:divs>
    <w:div w:id="9959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Gulbahor.nematova@undp.org" TargetMode="External"/><Relationship Id="rId4" Type="http://schemas.openxmlformats.org/officeDocument/2006/relationships/settings" Target="settings.xml"/><Relationship Id="rId9" Type="http://schemas.openxmlformats.org/officeDocument/2006/relationships/hyperlink" Target="mailto:aliona.niculita@und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2015-08-11T02:00:00+00:00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1666</Value>
      <Value>1</Value>
      <Value>763</Value>
    </TaxCatchAll>
    <c4e2ab2cc9354bbf9064eeb465a566ea xmlns="1ed4137b-41b2-488b-8250-6d369ec27664">
      <Terms xmlns="http://schemas.microsoft.com/office/infopath/2007/PartnerControls"/>
    </c4e2ab2cc9354bbf9064eeb465a566ea>
    <UndpProjectNo xmlns="1ed4137b-41b2-488b-8250-6d369ec27664">00087621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TJK</TermName>
          <TermId xmlns="http://schemas.microsoft.com/office/infopath/2007/PartnerControls">06c2ff49-3c91-47a3-b3b4-10923cede9d2</TermId>
        </TermInfo>
      </Terms>
    </gc6531b704974d528487414686b72f6f>
    <_dlc_DocId xmlns="f1161f5b-24a3-4c2d-bc81-44cb9325e8ee">ATLASPDC-4-36779</_dlc_DocId>
    <_dlc_DocIdUrl xmlns="f1161f5b-24a3-4c2d-bc81-44cb9325e8ee">
      <Url>https://info.undp.org/docs/pdc/_layouts/DocIdRedir.aspx?ID=ATLASPDC-4-36779</Url>
      <Description>ATLASPDC-4-36779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2F2158B-0F77-4F28-81BB-73E21C29EF75}"/>
</file>

<file path=customXml/itemProps2.xml><?xml version="1.0" encoding="utf-8"?>
<ds:datastoreItem xmlns:ds="http://schemas.openxmlformats.org/officeDocument/2006/customXml" ds:itemID="{382E7630-0233-4ADD-85BD-A8FE15F1D204}"/>
</file>

<file path=customXml/itemProps3.xml><?xml version="1.0" encoding="utf-8"?>
<ds:datastoreItem xmlns:ds="http://schemas.openxmlformats.org/officeDocument/2006/customXml" ds:itemID="{6E763B90-74BE-4C9F-8DE3-46A4FE45E3E4}"/>
</file>

<file path=customXml/itemProps4.xml><?xml version="1.0" encoding="utf-8"?>
<ds:datastoreItem xmlns:ds="http://schemas.openxmlformats.org/officeDocument/2006/customXml" ds:itemID="{E65CFDB7-942C-4F7B-9369-97FE4161AD5C}"/>
</file>

<file path=customXml/itemProps5.xml><?xml version="1.0" encoding="utf-8"?>
<ds:datastoreItem xmlns:ds="http://schemas.openxmlformats.org/officeDocument/2006/customXml" ds:itemID="{945C8A23-89FF-444D-8E05-C167467B42D8}"/>
</file>

<file path=customXml/itemProps6.xml><?xml version="1.0" encoding="utf-8"?>
<ds:datastoreItem xmlns:ds="http://schemas.openxmlformats.org/officeDocument/2006/customXml" ds:itemID="{EA42D49D-E16E-449A-8485-E84E6B537601}"/>
</file>

<file path=docProps/app.xml><?xml version="1.0" encoding="utf-8"?>
<Properties xmlns="http://schemas.openxmlformats.org/officeDocument/2006/extended-properties" xmlns:vt="http://schemas.openxmlformats.org/officeDocument/2006/docPropsVTypes">
  <Template>Normal</Template>
  <TotalTime>172</TotalTime>
  <Pages>2</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UNDP Moldova</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for Inception Phase of the project "Supporting Civil Registry Reform in Tajikistan"</dc:title>
  <dc:subject/>
  <dc:creator/>
  <cp:lastModifiedBy>Aliona.Niculita</cp:lastModifiedBy>
  <cp:revision>5</cp:revision>
  <cp:lastPrinted>2010-12-01T07:53:00Z</cp:lastPrinted>
  <dcterms:created xsi:type="dcterms:W3CDTF">2014-12-09T13:40:00Z</dcterms:created>
  <dcterms:modified xsi:type="dcterms:W3CDTF">2014-12-09T23:04:00Z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1666;#TJK|06c2ff49-3c91-47a3-b3b4-10923cede9d2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b39d489d-f6b3-4d3a-926b-f8a7008abbe6</vt:lpwstr>
  </property>
  <property fmtid="{D5CDD505-2E9C-101B-9397-08002B2CF9AE}" pid="18" name="URL">
    <vt:lpwstr/>
  </property>
  <property fmtid="{D5CDD505-2E9C-101B-9397-08002B2CF9AE}" pid="19" name="DocumentSetDescription">
    <vt:lpwstr/>
  </property>
</Properties>
</file>